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118" w:rsidRDefault="000A33CC" w:rsidP="000A33CC">
      <w:pPr>
        <w:jc w:val="center"/>
        <w:rPr>
          <w:rFonts w:asciiTheme="minorHAnsi" w:hAnsiTheme="minorHAnsi"/>
          <w:color w:val="000000"/>
          <w:sz w:val="24"/>
          <w:szCs w:val="24"/>
        </w:rPr>
      </w:pPr>
      <w:r>
        <w:rPr>
          <w:noProof/>
        </w:rPr>
        <w:drawing>
          <wp:inline distT="0" distB="0" distL="0" distR="0">
            <wp:extent cx="2389505" cy="673100"/>
            <wp:effectExtent l="0" t="0" r="0" b="0"/>
            <wp:docPr id="3" name="Picture 3" descr="cid:295354120@26032007-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95354120@26032007-03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89505" cy="673100"/>
                    </a:xfrm>
                    <a:prstGeom prst="rect">
                      <a:avLst/>
                    </a:prstGeom>
                    <a:noFill/>
                    <a:ln>
                      <a:noFill/>
                    </a:ln>
                  </pic:spPr>
                </pic:pic>
              </a:graphicData>
            </a:graphic>
          </wp:inline>
        </w:drawing>
      </w:r>
    </w:p>
    <w:p w:rsidR="000A33CC" w:rsidRPr="000A33CC" w:rsidRDefault="000A33CC" w:rsidP="000A33CC">
      <w:pPr>
        <w:jc w:val="center"/>
        <w:rPr>
          <w:rFonts w:ascii="Arial" w:eastAsia="Times New Roman" w:hAnsi="Arial" w:cs="Arial"/>
          <w:sz w:val="20"/>
          <w:szCs w:val="20"/>
        </w:rPr>
      </w:pPr>
      <w:r w:rsidRPr="000A33CC">
        <w:rPr>
          <w:rFonts w:ascii="Arial" w:eastAsia="Times New Roman" w:hAnsi="Arial" w:cs="Arial"/>
          <w:sz w:val="20"/>
          <w:szCs w:val="20"/>
        </w:rPr>
        <w:t>323 Fifth Street</w:t>
      </w:r>
    </w:p>
    <w:p w:rsidR="000A33CC" w:rsidRPr="000A33CC" w:rsidRDefault="000A33CC" w:rsidP="000A33CC">
      <w:pPr>
        <w:tabs>
          <w:tab w:val="center" w:pos="4320"/>
          <w:tab w:val="right" w:pos="8640"/>
        </w:tabs>
        <w:jc w:val="center"/>
        <w:rPr>
          <w:rFonts w:ascii="Arial" w:eastAsia="Times New Roman" w:hAnsi="Arial" w:cs="Arial"/>
          <w:sz w:val="20"/>
          <w:szCs w:val="20"/>
        </w:rPr>
      </w:pPr>
      <w:r w:rsidRPr="000A33CC">
        <w:rPr>
          <w:rFonts w:ascii="Arial" w:eastAsia="Times New Roman" w:hAnsi="Arial" w:cs="Arial"/>
          <w:sz w:val="20"/>
          <w:szCs w:val="20"/>
        </w:rPr>
        <w:t>Eureka, CA 95501</w:t>
      </w:r>
    </w:p>
    <w:p w:rsidR="000A33CC" w:rsidRPr="000A33CC" w:rsidRDefault="000A33CC" w:rsidP="000A33CC">
      <w:pPr>
        <w:tabs>
          <w:tab w:val="center" w:pos="4320"/>
          <w:tab w:val="right" w:pos="8640"/>
        </w:tabs>
        <w:jc w:val="center"/>
        <w:rPr>
          <w:rFonts w:ascii="Arial" w:eastAsia="Times New Roman" w:hAnsi="Arial" w:cs="Arial"/>
          <w:sz w:val="20"/>
          <w:szCs w:val="20"/>
        </w:rPr>
      </w:pPr>
      <w:r w:rsidRPr="000A33CC">
        <w:rPr>
          <w:rFonts w:ascii="Arial" w:eastAsia="Times New Roman" w:hAnsi="Arial" w:cs="Arial"/>
          <w:sz w:val="20"/>
          <w:szCs w:val="20"/>
        </w:rPr>
        <w:t xml:space="preserve"> (800) 603-0836</w:t>
      </w:r>
    </w:p>
    <w:p w:rsidR="000A33CC" w:rsidRPr="000A33CC" w:rsidRDefault="000A33CC" w:rsidP="000A33CC">
      <w:pPr>
        <w:autoSpaceDE w:val="0"/>
        <w:autoSpaceDN w:val="0"/>
        <w:adjustRightInd w:val="0"/>
        <w:jc w:val="center"/>
        <w:rPr>
          <w:rFonts w:ascii="Arial" w:eastAsia="Times New Roman" w:hAnsi="Arial" w:cs="Arial"/>
          <w:sz w:val="20"/>
          <w:szCs w:val="20"/>
        </w:rPr>
      </w:pPr>
      <w:r w:rsidRPr="000A33CC">
        <w:rPr>
          <w:rFonts w:ascii="Arial" w:eastAsia="Times New Roman" w:hAnsi="Arial" w:cs="Arial"/>
          <w:sz w:val="20"/>
          <w:szCs w:val="20"/>
        </w:rPr>
        <w:t>Para Español, Ext. 2660 o 2643</w:t>
      </w:r>
    </w:p>
    <w:p w:rsidR="000A33CC" w:rsidRPr="000A33CC" w:rsidRDefault="000A33CC" w:rsidP="000A33CC">
      <w:pPr>
        <w:tabs>
          <w:tab w:val="center" w:pos="4320"/>
          <w:tab w:val="right" w:pos="8640"/>
        </w:tabs>
        <w:jc w:val="center"/>
        <w:rPr>
          <w:rFonts w:ascii="Arial" w:eastAsia="Times New Roman" w:hAnsi="Arial" w:cs="Arial"/>
          <w:sz w:val="20"/>
          <w:szCs w:val="20"/>
        </w:rPr>
      </w:pPr>
      <w:r w:rsidRPr="000A33CC">
        <w:rPr>
          <w:rFonts w:ascii="Arial" w:eastAsia="Times New Roman" w:hAnsi="Arial" w:cs="Arial"/>
          <w:sz w:val="20"/>
          <w:szCs w:val="20"/>
        </w:rPr>
        <w:t>8:00 a.m. – 5:00 p.m. Pacific Time</w:t>
      </w:r>
    </w:p>
    <w:p w:rsidR="000A33CC" w:rsidRDefault="000A33CC" w:rsidP="000A33CC">
      <w:pPr>
        <w:jc w:val="center"/>
        <w:rPr>
          <w:rFonts w:ascii="Arial" w:eastAsia="Times New Roman" w:hAnsi="Arial" w:cs="Arial"/>
          <w:sz w:val="20"/>
          <w:szCs w:val="20"/>
        </w:rPr>
      </w:pPr>
      <w:r w:rsidRPr="000A33CC">
        <w:rPr>
          <w:rFonts w:ascii="Arial" w:eastAsia="Times New Roman" w:hAnsi="Arial" w:cs="Arial"/>
          <w:sz w:val="20"/>
          <w:szCs w:val="20"/>
        </w:rPr>
        <w:t>Main Office - NMLS ID# 5985 - Branch Office – NMLS ID # 9785</w:t>
      </w:r>
    </w:p>
    <w:p w:rsidR="000A33CC" w:rsidRDefault="000A33CC" w:rsidP="000A33CC">
      <w:pPr>
        <w:jc w:val="center"/>
        <w:rPr>
          <w:rFonts w:asciiTheme="minorHAnsi" w:hAnsiTheme="minorHAnsi"/>
          <w:color w:val="000000"/>
          <w:sz w:val="24"/>
          <w:szCs w:val="24"/>
        </w:rPr>
      </w:pPr>
    </w:p>
    <w:p w:rsidR="00E153E7" w:rsidRPr="00E153E7" w:rsidRDefault="000C1D25" w:rsidP="00E153E7">
      <w:pPr>
        <w:jc w:val="center"/>
        <w:rPr>
          <w:rFonts w:asciiTheme="minorHAnsi" w:hAnsiTheme="minorHAnsi"/>
          <w:b/>
          <w:color w:val="000000"/>
          <w:sz w:val="28"/>
          <w:szCs w:val="28"/>
        </w:rPr>
      </w:pPr>
      <w:r>
        <w:rPr>
          <w:rFonts w:asciiTheme="minorHAnsi" w:hAnsiTheme="minorHAnsi"/>
          <w:b/>
          <w:color w:val="000000"/>
          <w:sz w:val="28"/>
          <w:szCs w:val="28"/>
        </w:rPr>
        <w:t>Understanding</w:t>
      </w:r>
      <w:r w:rsidR="00E153E7">
        <w:rPr>
          <w:rFonts w:asciiTheme="minorHAnsi" w:hAnsiTheme="minorHAnsi"/>
          <w:b/>
          <w:color w:val="000000"/>
          <w:sz w:val="28"/>
          <w:szCs w:val="28"/>
        </w:rPr>
        <w:t xml:space="preserve"> Investor Requirements and Timeline</w:t>
      </w:r>
      <w:r>
        <w:rPr>
          <w:rFonts w:asciiTheme="minorHAnsi" w:hAnsiTheme="minorHAnsi"/>
          <w:b/>
          <w:color w:val="000000"/>
          <w:sz w:val="28"/>
          <w:szCs w:val="28"/>
        </w:rPr>
        <w:t>s</w:t>
      </w:r>
    </w:p>
    <w:p w:rsidR="00E57BB9" w:rsidRDefault="002A6118" w:rsidP="00424975">
      <w:pPr>
        <w:jc w:val="both"/>
        <w:rPr>
          <w:rFonts w:asciiTheme="minorHAnsi" w:hAnsiTheme="minorHAnsi"/>
          <w:color w:val="000000"/>
          <w:sz w:val="24"/>
          <w:szCs w:val="24"/>
        </w:rPr>
      </w:pPr>
      <w:r w:rsidRPr="002A6118">
        <w:rPr>
          <w:rFonts w:asciiTheme="minorHAnsi" w:hAnsiTheme="minorHAnsi"/>
          <w:color w:val="000000"/>
          <w:sz w:val="24"/>
          <w:szCs w:val="24"/>
        </w:rPr>
        <w:t xml:space="preserve">After providing the </w:t>
      </w:r>
      <w:r w:rsidR="00E47DEE">
        <w:rPr>
          <w:rFonts w:asciiTheme="minorHAnsi" w:hAnsiTheme="minorHAnsi"/>
          <w:color w:val="000000"/>
          <w:sz w:val="24"/>
          <w:szCs w:val="24"/>
        </w:rPr>
        <w:t xml:space="preserve">executed </w:t>
      </w:r>
      <w:r w:rsidR="00AB5E8C">
        <w:rPr>
          <w:rFonts w:asciiTheme="minorHAnsi" w:hAnsiTheme="minorHAnsi"/>
          <w:color w:val="000000"/>
          <w:sz w:val="24"/>
          <w:szCs w:val="24"/>
        </w:rPr>
        <w:t>Investor</w:t>
      </w:r>
      <w:r w:rsidR="00E47DEE">
        <w:rPr>
          <w:rFonts w:asciiTheme="minorHAnsi" w:hAnsiTheme="minorHAnsi"/>
          <w:color w:val="000000"/>
          <w:sz w:val="24"/>
          <w:szCs w:val="24"/>
        </w:rPr>
        <w:t xml:space="preserve"> setup agreements, including the </w:t>
      </w:r>
      <w:r w:rsidRPr="002A6118">
        <w:rPr>
          <w:rFonts w:asciiTheme="minorHAnsi" w:hAnsiTheme="minorHAnsi"/>
          <w:color w:val="000000"/>
          <w:sz w:val="24"/>
          <w:szCs w:val="24"/>
        </w:rPr>
        <w:t xml:space="preserve">Investor Questionnaire, </w:t>
      </w:r>
      <w:r w:rsidR="00351023">
        <w:rPr>
          <w:rFonts w:asciiTheme="minorHAnsi" w:hAnsiTheme="minorHAnsi"/>
          <w:color w:val="000000"/>
          <w:sz w:val="24"/>
          <w:szCs w:val="24"/>
        </w:rPr>
        <w:t xml:space="preserve">and any required fees are paid, </w:t>
      </w:r>
      <w:r w:rsidRPr="002A6118">
        <w:rPr>
          <w:rFonts w:asciiTheme="minorHAnsi" w:hAnsiTheme="minorHAnsi"/>
          <w:color w:val="000000"/>
          <w:sz w:val="24"/>
          <w:szCs w:val="24"/>
        </w:rPr>
        <w:t xml:space="preserve">your </w:t>
      </w:r>
      <w:r w:rsidR="00351023">
        <w:rPr>
          <w:rFonts w:asciiTheme="minorHAnsi" w:hAnsiTheme="minorHAnsi"/>
          <w:color w:val="000000"/>
          <w:sz w:val="24"/>
          <w:szCs w:val="24"/>
        </w:rPr>
        <w:t xml:space="preserve">Investor </w:t>
      </w:r>
      <w:r w:rsidRPr="002A6118">
        <w:rPr>
          <w:rFonts w:asciiTheme="minorHAnsi" w:hAnsiTheme="minorHAnsi"/>
          <w:color w:val="000000"/>
          <w:sz w:val="24"/>
          <w:szCs w:val="24"/>
        </w:rPr>
        <w:t xml:space="preserve">account </w:t>
      </w:r>
      <w:r w:rsidR="00E47DEE">
        <w:rPr>
          <w:rFonts w:asciiTheme="minorHAnsi" w:hAnsiTheme="minorHAnsi"/>
          <w:color w:val="000000"/>
          <w:sz w:val="24"/>
          <w:szCs w:val="24"/>
        </w:rPr>
        <w:t>can</w:t>
      </w:r>
      <w:r w:rsidRPr="002A6118">
        <w:rPr>
          <w:rFonts w:asciiTheme="minorHAnsi" w:hAnsiTheme="minorHAnsi"/>
          <w:color w:val="000000"/>
          <w:sz w:val="24"/>
          <w:szCs w:val="24"/>
        </w:rPr>
        <w:t xml:space="preserve"> be established within 2-5 business days</w:t>
      </w:r>
      <w:r w:rsidR="00E47DEE">
        <w:rPr>
          <w:rFonts w:asciiTheme="minorHAnsi" w:hAnsiTheme="minorHAnsi"/>
          <w:color w:val="000000"/>
          <w:sz w:val="24"/>
          <w:szCs w:val="24"/>
        </w:rPr>
        <w:t xml:space="preserve">.  </w:t>
      </w:r>
    </w:p>
    <w:p w:rsidR="00E57BB9" w:rsidRPr="009445F8" w:rsidRDefault="00E47DEE" w:rsidP="005118FB">
      <w:pPr>
        <w:pStyle w:val="ListParagraph"/>
        <w:numPr>
          <w:ilvl w:val="0"/>
          <w:numId w:val="4"/>
        </w:numPr>
        <w:jc w:val="both"/>
        <w:rPr>
          <w:rFonts w:asciiTheme="minorHAnsi" w:hAnsiTheme="minorHAnsi"/>
          <w:color w:val="000000"/>
          <w:sz w:val="24"/>
          <w:szCs w:val="24"/>
          <w:u w:val="single"/>
        </w:rPr>
      </w:pPr>
      <w:r w:rsidRPr="00E57BB9">
        <w:rPr>
          <w:rFonts w:asciiTheme="minorHAnsi" w:hAnsiTheme="minorHAnsi"/>
          <w:color w:val="000000"/>
          <w:sz w:val="24"/>
          <w:szCs w:val="24"/>
        </w:rPr>
        <w:t>For transfers from another servicer, a</w:t>
      </w:r>
      <w:r w:rsidR="002A6118" w:rsidRPr="00E57BB9">
        <w:rPr>
          <w:rFonts w:asciiTheme="minorHAnsi" w:hAnsiTheme="minorHAnsi"/>
          <w:color w:val="000000"/>
          <w:sz w:val="24"/>
          <w:szCs w:val="24"/>
        </w:rPr>
        <w:t xml:space="preserve"> Service Transfer Date will be established</w:t>
      </w:r>
      <w:r w:rsidRPr="00E57BB9">
        <w:rPr>
          <w:rFonts w:asciiTheme="minorHAnsi" w:hAnsiTheme="minorHAnsi"/>
          <w:color w:val="000000"/>
          <w:sz w:val="24"/>
          <w:szCs w:val="24"/>
        </w:rPr>
        <w:t xml:space="preserve"> with that servicer</w:t>
      </w:r>
      <w:r w:rsidR="002A6118" w:rsidRPr="00E57BB9">
        <w:rPr>
          <w:rFonts w:asciiTheme="minorHAnsi" w:hAnsiTheme="minorHAnsi"/>
          <w:color w:val="000000"/>
          <w:sz w:val="24"/>
          <w:szCs w:val="24"/>
        </w:rPr>
        <w:t xml:space="preserve">.  </w:t>
      </w:r>
      <w:r w:rsidR="002D5BE0">
        <w:rPr>
          <w:rFonts w:asciiTheme="minorHAnsi" w:hAnsiTheme="minorHAnsi"/>
          <w:color w:val="000000"/>
          <w:sz w:val="24"/>
          <w:szCs w:val="24"/>
        </w:rPr>
        <w:t xml:space="preserve">You will need to provide </w:t>
      </w:r>
      <w:r w:rsidR="005118FB">
        <w:rPr>
          <w:rFonts w:asciiTheme="minorHAnsi" w:hAnsiTheme="minorHAnsi"/>
          <w:color w:val="000000"/>
          <w:sz w:val="24"/>
          <w:szCs w:val="24"/>
        </w:rPr>
        <w:t>Robin Bostwick</w:t>
      </w:r>
      <w:r w:rsidR="002A6118" w:rsidRPr="00E57BB9">
        <w:rPr>
          <w:rFonts w:asciiTheme="minorHAnsi" w:hAnsiTheme="minorHAnsi"/>
          <w:color w:val="000000"/>
          <w:sz w:val="24"/>
          <w:szCs w:val="24"/>
        </w:rPr>
        <w:t xml:space="preserve"> </w:t>
      </w:r>
      <w:r w:rsidR="005118FB" w:rsidRPr="005118FB">
        <w:t>RBostwick@snsc.com</w:t>
      </w:r>
      <w:r w:rsidR="002A6118" w:rsidRPr="00E57BB9">
        <w:rPr>
          <w:rFonts w:asciiTheme="minorHAnsi" w:hAnsiTheme="minorHAnsi"/>
          <w:color w:val="000000"/>
          <w:sz w:val="24"/>
          <w:szCs w:val="24"/>
        </w:rPr>
        <w:t xml:space="preserve"> </w:t>
      </w:r>
      <w:r w:rsidR="002D5BE0">
        <w:rPr>
          <w:rFonts w:asciiTheme="minorHAnsi" w:hAnsiTheme="minorHAnsi"/>
          <w:color w:val="000000"/>
          <w:sz w:val="24"/>
          <w:szCs w:val="24"/>
        </w:rPr>
        <w:t>with purchase</w:t>
      </w:r>
      <w:r w:rsidR="009445F8">
        <w:rPr>
          <w:rFonts w:asciiTheme="minorHAnsi" w:hAnsiTheme="minorHAnsi"/>
          <w:color w:val="000000"/>
          <w:sz w:val="24"/>
          <w:szCs w:val="24"/>
        </w:rPr>
        <w:t xml:space="preserve"> or ownership</w:t>
      </w:r>
      <w:r w:rsidR="002D5BE0">
        <w:rPr>
          <w:rFonts w:asciiTheme="minorHAnsi" w:hAnsiTheme="minorHAnsi"/>
          <w:color w:val="000000"/>
          <w:sz w:val="24"/>
          <w:szCs w:val="24"/>
        </w:rPr>
        <w:t xml:space="preserve"> information</w:t>
      </w:r>
      <w:r w:rsidR="009445F8">
        <w:rPr>
          <w:rFonts w:asciiTheme="minorHAnsi" w:hAnsiTheme="minorHAnsi"/>
          <w:color w:val="000000"/>
          <w:sz w:val="24"/>
          <w:szCs w:val="24"/>
        </w:rPr>
        <w:t xml:space="preserve"> on Exhibit “A”.  </w:t>
      </w:r>
      <w:r w:rsidR="00C50079">
        <w:rPr>
          <w:rFonts w:asciiTheme="minorHAnsi" w:hAnsiTheme="minorHAnsi"/>
          <w:color w:val="000000"/>
          <w:sz w:val="24"/>
          <w:szCs w:val="24"/>
        </w:rPr>
        <w:t>Robin</w:t>
      </w:r>
      <w:r w:rsidR="009445F8">
        <w:rPr>
          <w:rFonts w:asciiTheme="minorHAnsi" w:hAnsiTheme="minorHAnsi"/>
          <w:color w:val="000000"/>
          <w:sz w:val="24"/>
          <w:szCs w:val="24"/>
        </w:rPr>
        <w:t xml:space="preserve"> </w:t>
      </w:r>
      <w:r w:rsidR="002A6118" w:rsidRPr="009445F8">
        <w:rPr>
          <w:rFonts w:asciiTheme="minorHAnsi" w:hAnsiTheme="minorHAnsi"/>
          <w:color w:val="000000"/>
          <w:sz w:val="24"/>
          <w:szCs w:val="24"/>
        </w:rPr>
        <w:t xml:space="preserve">can provide you updates </w:t>
      </w:r>
      <w:r w:rsidR="009445F8">
        <w:rPr>
          <w:rFonts w:asciiTheme="minorHAnsi" w:hAnsiTheme="minorHAnsi"/>
          <w:color w:val="000000"/>
          <w:sz w:val="24"/>
          <w:szCs w:val="24"/>
        </w:rPr>
        <w:t>on the status of the transfer.</w:t>
      </w:r>
    </w:p>
    <w:p w:rsidR="00E57BB9" w:rsidRPr="005B5E3C" w:rsidRDefault="00156554" w:rsidP="00E57BB9">
      <w:pPr>
        <w:pStyle w:val="ListParagraph"/>
        <w:numPr>
          <w:ilvl w:val="0"/>
          <w:numId w:val="4"/>
        </w:numPr>
        <w:jc w:val="both"/>
        <w:rPr>
          <w:rFonts w:asciiTheme="minorHAnsi" w:hAnsiTheme="minorHAnsi"/>
          <w:color w:val="000000"/>
          <w:sz w:val="24"/>
          <w:szCs w:val="24"/>
          <w:u w:val="single"/>
        </w:rPr>
      </w:pPr>
      <w:r w:rsidRPr="00E57BB9">
        <w:rPr>
          <w:rFonts w:asciiTheme="minorHAnsi" w:hAnsiTheme="minorHAnsi"/>
          <w:color w:val="000000"/>
          <w:sz w:val="24"/>
          <w:szCs w:val="24"/>
        </w:rPr>
        <w:t>All transfer requirements must be met, including receipt of prior servicer reports, payment histories and file images</w:t>
      </w:r>
      <w:r w:rsidR="002637EF" w:rsidRPr="00E57BB9">
        <w:rPr>
          <w:rFonts w:asciiTheme="minorHAnsi" w:hAnsiTheme="minorHAnsi"/>
          <w:color w:val="000000"/>
          <w:sz w:val="24"/>
          <w:szCs w:val="24"/>
        </w:rPr>
        <w:t>,</w:t>
      </w:r>
      <w:r w:rsidRPr="00E57BB9">
        <w:rPr>
          <w:rFonts w:asciiTheme="minorHAnsi" w:hAnsiTheme="minorHAnsi"/>
          <w:color w:val="000000"/>
          <w:sz w:val="24"/>
          <w:szCs w:val="24"/>
        </w:rPr>
        <w:t xml:space="preserve"> before SNSC can complete the loan boarding process and set loans active for servicing.  </w:t>
      </w:r>
      <w:r w:rsidR="002637EF" w:rsidRPr="00E57BB9">
        <w:rPr>
          <w:rFonts w:asciiTheme="minorHAnsi" w:hAnsiTheme="minorHAnsi" w:cs="Times-Bold"/>
          <w:bCs/>
          <w:sz w:val="24"/>
          <w:szCs w:val="24"/>
        </w:rPr>
        <w:t>Statutes require SNSC to have many of these items to maintain our licenses.</w:t>
      </w:r>
      <w:r w:rsidR="00C30C66" w:rsidRPr="00E57BB9">
        <w:rPr>
          <w:rFonts w:asciiTheme="minorHAnsi" w:hAnsiTheme="minorHAnsi" w:cs="Times-Bold"/>
          <w:bCs/>
          <w:sz w:val="24"/>
          <w:szCs w:val="24"/>
        </w:rPr>
        <w:t xml:space="preserve"> </w:t>
      </w:r>
      <w:r w:rsidR="002637EF" w:rsidRPr="00E57BB9">
        <w:rPr>
          <w:rFonts w:asciiTheme="minorHAnsi" w:hAnsiTheme="minorHAnsi" w:cs="Times-Bold"/>
          <w:bCs/>
          <w:sz w:val="24"/>
          <w:szCs w:val="24"/>
        </w:rPr>
        <w:t xml:space="preserve"> </w:t>
      </w:r>
      <w:r w:rsidR="00C30C66" w:rsidRPr="00E57BB9">
        <w:rPr>
          <w:rFonts w:asciiTheme="minorHAnsi" w:hAnsiTheme="minorHAnsi" w:cs="Times-Bold"/>
          <w:bCs/>
          <w:sz w:val="24"/>
          <w:szCs w:val="24"/>
        </w:rPr>
        <w:t xml:space="preserve">If any of the above items are missing from the package, setup will be delayed until they are received or we may </w:t>
      </w:r>
      <w:r w:rsidR="002637EF" w:rsidRPr="00E57BB9">
        <w:rPr>
          <w:rFonts w:asciiTheme="minorHAnsi" w:hAnsiTheme="minorHAnsi" w:cs="Times-Bold"/>
          <w:bCs/>
          <w:sz w:val="24"/>
          <w:szCs w:val="24"/>
        </w:rPr>
        <w:t xml:space="preserve">deboard any loan where the </w:t>
      </w:r>
      <w:r w:rsidR="00AB5E8C">
        <w:rPr>
          <w:rFonts w:asciiTheme="minorHAnsi" w:hAnsiTheme="minorHAnsi" w:cs="Times-Bold"/>
          <w:bCs/>
          <w:sz w:val="24"/>
          <w:szCs w:val="24"/>
        </w:rPr>
        <w:t>Investor</w:t>
      </w:r>
      <w:r w:rsidR="002637EF" w:rsidRPr="00E57BB9">
        <w:rPr>
          <w:rFonts w:asciiTheme="minorHAnsi" w:hAnsiTheme="minorHAnsi" w:cs="Times-Bold"/>
          <w:bCs/>
          <w:sz w:val="24"/>
          <w:szCs w:val="24"/>
        </w:rPr>
        <w:t xml:space="preserve"> </w:t>
      </w:r>
      <w:r w:rsidR="00C30C66" w:rsidRPr="00E57BB9">
        <w:rPr>
          <w:rFonts w:asciiTheme="minorHAnsi" w:hAnsiTheme="minorHAnsi" w:cs="Times-Bold"/>
          <w:bCs/>
          <w:sz w:val="24"/>
          <w:szCs w:val="24"/>
        </w:rPr>
        <w:t>is unable to complete the requirements</w:t>
      </w:r>
      <w:r w:rsidR="00E10C18" w:rsidRPr="00E57BB9">
        <w:rPr>
          <w:rFonts w:asciiTheme="minorHAnsi" w:hAnsiTheme="minorHAnsi" w:cs="Times-Bold"/>
          <w:bCs/>
          <w:sz w:val="24"/>
          <w:szCs w:val="24"/>
        </w:rPr>
        <w:t xml:space="preserve"> post boarding</w:t>
      </w:r>
      <w:r w:rsidR="002637EF" w:rsidRPr="00E57BB9">
        <w:rPr>
          <w:rFonts w:asciiTheme="minorHAnsi" w:hAnsiTheme="minorHAnsi" w:cs="Times-Bold"/>
          <w:bCs/>
          <w:sz w:val="24"/>
          <w:szCs w:val="24"/>
        </w:rPr>
        <w:t xml:space="preserve">.  </w:t>
      </w:r>
      <w:r w:rsidR="00B0139C" w:rsidRPr="00E57BB9">
        <w:rPr>
          <w:rFonts w:asciiTheme="minorHAnsi" w:hAnsiTheme="minorHAnsi" w:cs="Times-Bold"/>
          <w:bCs/>
          <w:sz w:val="24"/>
          <w:szCs w:val="24"/>
        </w:rPr>
        <w:t xml:space="preserve">Delays can also occur if the Investor receives interim cash from the prior servicer, BK Trustee or seller, which do not flow through SNSC.  Any such funds should be immediately remitted to SNSC by Investor for proper credit to the borrower’s loan and the </w:t>
      </w:r>
      <w:r w:rsidR="00351023">
        <w:rPr>
          <w:rFonts w:asciiTheme="minorHAnsi" w:hAnsiTheme="minorHAnsi" w:cs="Times-Bold"/>
          <w:bCs/>
          <w:sz w:val="24"/>
          <w:szCs w:val="24"/>
        </w:rPr>
        <w:t>Investor’s remittance account.</w:t>
      </w:r>
    </w:p>
    <w:p w:rsidR="005B5E3C" w:rsidRPr="00351023" w:rsidRDefault="005B5E3C" w:rsidP="00E57BB9">
      <w:pPr>
        <w:pStyle w:val="ListParagraph"/>
        <w:numPr>
          <w:ilvl w:val="0"/>
          <w:numId w:val="4"/>
        </w:numPr>
        <w:jc w:val="both"/>
        <w:rPr>
          <w:rFonts w:asciiTheme="minorHAnsi" w:hAnsiTheme="minorHAnsi"/>
          <w:color w:val="000000"/>
          <w:sz w:val="24"/>
          <w:szCs w:val="24"/>
          <w:u w:val="single"/>
        </w:rPr>
      </w:pPr>
      <w:r w:rsidRPr="00D75ED8">
        <w:rPr>
          <w:rFonts w:asciiTheme="minorHAnsi" w:hAnsiTheme="minorHAnsi"/>
          <w:color w:val="000000"/>
          <w:sz w:val="24"/>
          <w:szCs w:val="24"/>
        </w:rPr>
        <w:t xml:space="preserve">Once your loan(s) has\have been transferred to your Investor account, you will be able to see real-time information for the loan(s) online.  </w:t>
      </w:r>
      <w:r w:rsidRPr="005B5E3C">
        <w:rPr>
          <w:rFonts w:asciiTheme="minorHAnsi" w:hAnsiTheme="minorHAnsi"/>
          <w:color w:val="000000"/>
          <w:sz w:val="24"/>
          <w:szCs w:val="24"/>
        </w:rPr>
        <w:t xml:space="preserve">Please note that until your loan(s) are boarded and activated on our system, you should not expect to see any information.  Access to the SNSC Investor Reporting Web site will be provided shortly after service transfer.  You will be sent an email with instructions on how to set your password as soon as access is available.  If you have any questions or difficulties accessing the Investor Reporting Web site, please contact Matt Deibler </w:t>
      </w:r>
      <w:hyperlink r:id="rId9" w:history="1">
        <w:r w:rsidRPr="005B5E3C">
          <w:rPr>
            <w:rStyle w:val="Hyperlink"/>
            <w:rFonts w:asciiTheme="minorHAnsi" w:hAnsiTheme="minorHAnsi"/>
            <w:color w:val="000000"/>
            <w:sz w:val="24"/>
            <w:szCs w:val="24"/>
          </w:rPr>
          <w:t>mdeibler@snsc.com</w:t>
        </w:r>
      </w:hyperlink>
      <w:r w:rsidRPr="005B5E3C">
        <w:rPr>
          <w:rFonts w:asciiTheme="minorHAnsi" w:hAnsiTheme="minorHAnsi"/>
          <w:color w:val="000000"/>
          <w:sz w:val="24"/>
          <w:szCs w:val="24"/>
        </w:rPr>
        <w:t>.</w:t>
      </w:r>
    </w:p>
    <w:p w:rsidR="002A6118" w:rsidRDefault="002A6118" w:rsidP="00424975">
      <w:pPr>
        <w:pStyle w:val="ListParagraph"/>
        <w:numPr>
          <w:ilvl w:val="0"/>
          <w:numId w:val="6"/>
        </w:numPr>
        <w:jc w:val="both"/>
        <w:rPr>
          <w:rFonts w:asciiTheme="minorHAnsi" w:hAnsiTheme="minorHAnsi"/>
          <w:color w:val="000000"/>
          <w:sz w:val="24"/>
          <w:szCs w:val="24"/>
        </w:rPr>
      </w:pPr>
      <w:r w:rsidRPr="008065C6">
        <w:rPr>
          <w:rFonts w:asciiTheme="minorHAnsi" w:hAnsiTheme="minorHAnsi"/>
          <w:color w:val="000000"/>
          <w:sz w:val="24"/>
          <w:szCs w:val="24"/>
        </w:rPr>
        <w:t>To start, click on one of the portfolio reports on the initial screen to run a report that shows all of your loans.  Then, click on the LoanID to view its details.  If you know the loan number, property address, mailing address, or borrower’s name, you can search by any of these on the Loan page to directly access</w:t>
      </w:r>
      <w:r w:rsidR="0072365A" w:rsidRPr="008065C6">
        <w:rPr>
          <w:rFonts w:asciiTheme="minorHAnsi" w:hAnsiTheme="minorHAnsi"/>
          <w:color w:val="000000"/>
          <w:sz w:val="24"/>
          <w:szCs w:val="24"/>
        </w:rPr>
        <w:t xml:space="preserve"> the loan’s details.  The Asse</w:t>
      </w:r>
      <w:r w:rsidRPr="008065C6">
        <w:rPr>
          <w:rFonts w:asciiTheme="minorHAnsi" w:hAnsiTheme="minorHAnsi"/>
          <w:color w:val="000000"/>
          <w:sz w:val="24"/>
          <w:szCs w:val="24"/>
        </w:rPr>
        <w:t>t Manager assigned to your loan(s) and their contact information will be displayed on the “Details” tab in the top right corner.  Other contacts are provided by clicking the “Contact Us” link on the top right corner of the page.</w:t>
      </w:r>
    </w:p>
    <w:p w:rsidR="00BE40F5" w:rsidRPr="00BE40F5" w:rsidRDefault="00BE40F5" w:rsidP="00BE40F5">
      <w:pPr>
        <w:pStyle w:val="ListParagraph"/>
        <w:numPr>
          <w:ilvl w:val="0"/>
          <w:numId w:val="6"/>
        </w:numPr>
        <w:jc w:val="both"/>
        <w:rPr>
          <w:rFonts w:asciiTheme="minorHAnsi" w:hAnsiTheme="minorHAnsi"/>
          <w:color w:val="000000"/>
          <w:sz w:val="24"/>
          <w:szCs w:val="24"/>
          <w:u w:val="single"/>
        </w:rPr>
      </w:pPr>
      <w:r>
        <w:rPr>
          <w:rFonts w:asciiTheme="minorHAnsi" w:hAnsiTheme="minorHAnsi"/>
          <w:color w:val="000000"/>
          <w:sz w:val="24"/>
          <w:szCs w:val="24"/>
        </w:rPr>
        <w:t xml:space="preserve">Your loans will be assigned to Asset Manager(s), who are your contacts post boarding for all loan related information, processing or borrower communication.  </w:t>
      </w:r>
      <w:r w:rsidRPr="00E57BB9">
        <w:rPr>
          <w:rFonts w:asciiTheme="minorHAnsi" w:hAnsiTheme="minorHAnsi"/>
          <w:color w:val="000000"/>
          <w:sz w:val="24"/>
          <w:szCs w:val="24"/>
        </w:rPr>
        <w:t>Please allow 30-60 days for the Service Transfer to be complete, loan details reviewed, and the initial calls to the borrower to be placed before requesting an</w:t>
      </w:r>
      <w:r>
        <w:rPr>
          <w:rFonts w:asciiTheme="minorHAnsi" w:hAnsiTheme="minorHAnsi"/>
          <w:color w:val="000000"/>
          <w:sz w:val="24"/>
          <w:szCs w:val="24"/>
        </w:rPr>
        <w:t xml:space="preserve"> update from the Asset Manager.</w:t>
      </w:r>
    </w:p>
    <w:p w:rsidR="008065C6" w:rsidRPr="008065C6" w:rsidRDefault="002A6118" w:rsidP="008065C6">
      <w:pPr>
        <w:pStyle w:val="ListParagraph"/>
        <w:numPr>
          <w:ilvl w:val="0"/>
          <w:numId w:val="6"/>
        </w:numPr>
        <w:jc w:val="both"/>
        <w:rPr>
          <w:rFonts w:asciiTheme="minorHAnsi" w:hAnsiTheme="minorHAnsi"/>
          <w:color w:val="000000"/>
          <w:sz w:val="24"/>
          <w:szCs w:val="24"/>
        </w:rPr>
      </w:pPr>
      <w:r w:rsidRPr="008065C6">
        <w:rPr>
          <w:rFonts w:asciiTheme="minorHAnsi" w:hAnsiTheme="minorHAnsi"/>
          <w:color w:val="000000"/>
          <w:sz w:val="24"/>
          <w:szCs w:val="24"/>
        </w:rPr>
        <w:lastRenderedPageBreak/>
        <w:t>Please allow 30-45 days after transfer for the account</w:t>
      </w:r>
      <w:r w:rsidR="00D75ED8">
        <w:rPr>
          <w:rFonts w:asciiTheme="minorHAnsi" w:hAnsiTheme="minorHAnsi"/>
          <w:color w:val="000000"/>
          <w:sz w:val="24"/>
          <w:szCs w:val="24"/>
        </w:rPr>
        <w:t xml:space="preserve"> balances</w:t>
      </w:r>
      <w:r w:rsidRPr="008065C6">
        <w:rPr>
          <w:rFonts w:asciiTheme="minorHAnsi" w:hAnsiTheme="minorHAnsi"/>
          <w:color w:val="000000"/>
          <w:sz w:val="24"/>
          <w:szCs w:val="24"/>
        </w:rPr>
        <w:t xml:space="preserve"> to be fully reconciled.  Furthermore, it is extremely important to provide copies of the collateral documents and a full assignment chain to avoid delays in collections or foreclosure activity.  Please work with your collateral vendor to clear up any breaks in the chain as soon as possible to avoid delays and violations if a lien release is requested.  </w:t>
      </w:r>
    </w:p>
    <w:p w:rsidR="008065C6" w:rsidRDefault="002A6118" w:rsidP="008065C6">
      <w:pPr>
        <w:pStyle w:val="ListParagraph"/>
        <w:numPr>
          <w:ilvl w:val="0"/>
          <w:numId w:val="6"/>
        </w:numPr>
        <w:jc w:val="both"/>
        <w:rPr>
          <w:rFonts w:asciiTheme="minorHAnsi" w:hAnsiTheme="minorHAnsi"/>
          <w:color w:val="000000"/>
          <w:sz w:val="24"/>
          <w:szCs w:val="24"/>
        </w:rPr>
      </w:pPr>
      <w:r w:rsidRPr="008065C6">
        <w:rPr>
          <w:rFonts w:asciiTheme="minorHAnsi" w:hAnsiTheme="minorHAnsi"/>
          <w:color w:val="000000"/>
          <w:sz w:val="24"/>
          <w:szCs w:val="24"/>
        </w:rPr>
        <w:t xml:space="preserve">Formal collections cannot start </w:t>
      </w:r>
      <w:r w:rsidR="004B3073" w:rsidRPr="008065C6">
        <w:rPr>
          <w:rFonts w:asciiTheme="minorHAnsi" w:hAnsiTheme="minorHAnsi"/>
          <w:color w:val="000000"/>
          <w:sz w:val="24"/>
          <w:szCs w:val="24"/>
        </w:rPr>
        <w:t>until</w:t>
      </w:r>
      <w:r w:rsidRPr="008065C6">
        <w:rPr>
          <w:rFonts w:asciiTheme="minorHAnsi" w:hAnsiTheme="minorHAnsi"/>
          <w:color w:val="000000"/>
          <w:sz w:val="24"/>
          <w:szCs w:val="24"/>
        </w:rPr>
        <w:t xml:space="preserve"> 30 days afte</w:t>
      </w:r>
      <w:r w:rsidR="004B3073" w:rsidRPr="008065C6">
        <w:rPr>
          <w:rFonts w:asciiTheme="minorHAnsi" w:hAnsiTheme="minorHAnsi"/>
          <w:color w:val="000000"/>
          <w:sz w:val="24"/>
          <w:szCs w:val="24"/>
        </w:rPr>
        <w:t>r</w:t>
      </w:r>
      <w:r w:rsidRPr="008065C6">
        <w:rPr>
          <w:rFonts w:asciiTheme="minorHAnsi" w:hAnsiTheme="minorHAnsi"/>
          <w:color w:val="000000"/>
          <w:sz w:val="24"/>
          <w:szCs w:val="24"/>
        </w:rPr>
        <w:t xml:space="preserve"> the “First Collection Date” has passed</w:t>
      </w:r>
      <w:r w:rsidR="004B3073" w:rsidRPr="008065C6">
        <w:rPr>
          <w:rFonts w:asciiTheme="minorHAnsi" w:hAnsiTheme="minorHAnsi"/>
          <w:color w:val="000000"/>
          <w:sz w:val="24"/>
          <w:szCs w:val="24"/>
        </w:rPr>
        <w:t>, which is dependent on the FDCPA letter being mailed</w:t>
      </w:r>
      <w:r w:rsidRPr="008065C6">
        <w:rPr>
          <w:rFonts w:asciiTheme="minorHAnsi" w:hAnsiTheme="minorHAnsi"/>
          <w:color w:val="000000"/>
          <w:sz w:val="24"/>
          <w:szCs w:val="24"/>
        </w:rPr>
        <w:t xml:space="preserve">.  However, the </w:t>
      </w:r>
      <w:r w:rsidR="003D7A07" w:rsidRPr="008065C6">
        <w:rPr>
          <w:rFonts w:asciiTheme="minorHAnsi" w:hAnsiTheme="minorHAnsi"/>
          <w:color w:val="000000"/>
          <w:sz w:val="24"/>
          <w:szCs w:val="24"/>
        </w:rPr>
        <w:t>Asset</w:t>
      </w:r>
      <w:r w:rsidRPr="008065C6">
        <w:rPr>
          <w:rFonts w:asciiTheme="minorHAnsi" w:hAnsiTheme="minorHAnsi"/>
          <w:color w:val="000000"/>
          <w:sz w:val="24"/>
          <w:szCs w:val="24"/>
        </w:rPr>
        <w:t xml:space="preserve"> </w:t>
      </w:r>
      <w:r w:rsidR="003D7A07" w:rsidRPr="008065C6">
        <w:rPr>
          <w:rFonts w:asciiTheme="minorHAnsi" w:hAnsiTheme="minorHAnsi"/>
          <w:color w:val="000000"/>
          <w:sz w:val="24"/>
          <w:szCs w:val="24"/>
        </w:rPr>
        <w:t>Manager</w:t>
      </w:r>
      <w:r w:rsidRPr="008065C6">
        <w:rPr>
          <w:rFonts w:asciiTheme="minorHAnsi" w:hAnsiTheme="minorHAnsi"/>
          <w:color w:val="000000"/>
          <w:sz w:val="24"/>
          <w:szCs w:val="24"/>
        </w:rPr>
        <w:t xml:space="preserve"> will be placing a “Welcome Call” to the borrower during this timeframe.  If the borrower asks about Loss Mitigation or discusses a deli</w:t>
      </w:r>
      <w:r w:rsidR="00A55C2A" w:rsidRPr="008065C6">
        <w:rPr>
          <w:rFonts w:asciiTheme="minorHAnsi" w:hAnsiTheme="minorHAnsi"/>
          <w:color w:val="000000"/>
          <w:sz w:val="24"/>
          <w:szCs w:val="24"/>
        </w:rPr>
        <w:t>nquency at that time, the Asse</w:t>
      </w:r>
      <w:r w:rsidRPr="008065C6">
        <w:rPr>
          <w:rFonts w:asciiTheme="minorHAnsi" w:hAnsiTheme="minorHAnsi"/>
          <w:color w:val="000000"/>
          <w:sz w:val="24"/>
          <w:szCs w:val="24"/>
        </w:rPr>
        <w:t>t Manager ca</w:t>
      </w:r>
      <w:r w:rsidR="00C51A7A">
        <w:rPr>
          <w:rFonts w:asciiTheme="minorHAnsi" w:hAnsiTheme="minorHAnsi"/>
          <w:color w:val="000000"/>
          <w:sz w:val="24"/>
          <w:szCs w:val="24"/>
        </w:rPr>
        <w:t>n discuss potential solutions.</w:t>
      </w:r>
    </w:p>
    <w:p w:rsidR="008065C6" w:rsidRPr="00C51A7A" w:rsidRDefault="00A55C2A" w:rsidP="00C51A7A">
      <w:pPr>
        <w:pStyle w:val="ListParagraph"/>
        <w:numPr>
          <w:ilvl w:val="0"/>
          <w:numId w:val="6"/>
        </w:numPr>
        <w:jc w:val="both"/>
        <w:rPr>
          <w:rFonts w:asciiTheme="minorHAnsi" w:hAnsiTheme="minorHAnsi"/>
          <w:color w:val="000000"/>
          <w:sz w:val="24"/>
          <w:szCs w:val="24"/>
        </w:rPr>
      </w:pPr>
      <w:r w:rsidRPr="00C51A7A">
        <w:rPr>
          <w:rFonts w:asciiTheme="minorHAnsi" w:hAnsiTheme="minorHAnsi"/>
          <w:color w:val="000000"/>
          <w:sz w:val="24"/>
          <w:szCs w:val="24"/>
        </w:rPr>
        <w:t xml:space="preserve">Please be aware SNSC represents you, the Investor, and as such should be the borrower or attorney’s contact.  If you </w:t>
      </w:r>
      <w:r w:rsidR="003D7A07" w:rsidRPr="00C51A7A">
        <w:rPr>
          <w:rFonts w:asciiTheme="minorHAnsi" w:hAnsiTheme="minorHAnsi"/>
          <w:color w:val="000000"/>
          <w:sz w:val="24"/>
          <w:szCs w:val="24"/>
        </w:rPr>
        <w:t xml:space="preserve">have other arrangements, or are </w:t>
      </w:r>
      <w:r w:rsidRPr="00C51A7A">
        <w:rPr>
          <w:rFonts w:asciiTheme="minorHAnsi" w:hAnsiTheme="minorHAnsi"/>
          <w:color w:val="000000"/>
          <w:sz w:val="24"/>
          <w:szCs w:val="24"/>
        </w:rPr>
        <w:t>contacted regarding a loan serviced at SNSC</w:t>
      </w:r>
      <w:r w:rsidR="003D7A07" w:rsidRPr="00C51A7A">
        <w:rPr>
          <w:rFonts w:asciiTheme="minorHAnsi" w:hAnsiTheme="minorHAnsi"/>
          <w:color w:val="000000"/>
          <w:sz w:val="24"/>
          <w:szCs w:val="24"/>
        </w:rPr>
        <w:t>,</w:t>
      </w:r>
      <w:r w:rsidRPr="00C51A7A">
        <w:rPr>
          <w:rFonts w:asciiTheme="minorHAnsi" w:hAnsiTheme="minorHAnsi"/>
          <w:color w:val="000000"/>
          <w:sz w:val="24"/>
          <w:szCs w:val="24"/>
        </w:rPr>
        <w:t xml:space="preserve"> you must alert your Asset Manager</w:t>
      </w:r>
      <w:r w:rsidR="003D7A07" w:rsidRPr="00C51A7A">
        <w:rPr>
          <w:rFonts w:asciiTheme="minorHAnsi" w:hAnsiTheme="minorHAnsi"/>
          <w:color w:val="000000"/>
          <w:sz w:val="24"/>
          <w:szCs w:val="24"/>
        </w:rPr>
        <w:t xml:space="preserve"> so that process</w:t>
      </w:r>
      <w:r w:rsidR="00507A5D" w:rsidRPr="00C51A7A">
        <w:rPr>
          <w:rFonts w:asciiTheme="minorHAnsi" w:hAnsiTheme="minorHAnsi"/>
          <w:color w:val="000000"/>
          <w:sz w:val="24"/>
          <w:szCs w:val="24"/>
        </w:rPr>
        <w:t>es</w:t>
      </w:r>
      <w:r w:rsidR="003D7A07" w:rsidRPr="00C51A7A">
        <w:rPr>
          <w:rFonts w:asciiTheme="minorHAnsi" w:hAnsiTheme="minorHAnsi"/>
          <w:color w:val="000000"/>
          <w:sz w:val="24"/>
          <w:szCs w:val="24"/>
        </w:rPr>
        <w:t xml:space="preserve"> and timelines are not compromised</w:t>
      </w:r>
      <w:r w:rsidR="00507A5D" w:rsidRPr="00C51A7A">
        <w:rPr>
          <w:rFonts w:asciiTheme="minorHAnsi" w:hAnsiTheme="minorHAnsi"/>
          <w:color w:val="000000"/>
          <w:sz w:val="24"/>
          <w:szCs w:val="24"/>
        </w:rPr>
        <w:t xml:space="preserve"> by outside activity</w:t>
      </w:r>
      <w:r w:rsidR="003D7A07" w:rsidRPr="00C51A7A">
        <w:rPr>
          <w:rFonts w:asciiTheme="minorHAnsi" w:hAnsiTheme="minorHAnsi"/>
          <w:color w:val="000000"/>
          <w:sz w:val="24"/>
          <w:szCs w:val="24"/>
        </w:rPr>
        <w:t xml:space="preserve">. </w:t>
      </w:r>
      <w:r w:rsidR="00C51A7A" w:rsidRPr="00C51A7A">
        <w:rPr>
          <w:rFonts w:asciiTheme="minorHAnsi" w:hAnsiTheme="minorHAnsi"/>
          <w:color w:val="000000"/>
          <w:sz w:val="24"/>
          <w:szCs w:val="24"/>
        </w:rPr>
        <w:t xml:space="preserve"> While SNSC will vet and engage Attorneys for Foreclosure processes</w:t>
      </w:r>
      <w:r w:rsidR="00C51A7A">
        <w:rPr>
          <w:rFonts w:asciiTheme="minorHAnsi" w:hAnsiTheme="minorHAnsi"/>
          <w:color w:val="000000"/>
          <w:sz w:val="24"/>
          <w:szCs w:val="24"/>
        </w:rPr>
        <w:t>,</w:t>
      </w:r>
      <w:r w:rsidR="00C51A7A" w:rsidRPr="00C51A7A">
        <w:rPr>
          <w:rFonts w:asciiTheme="minorHAnsi" w:hAnsiTheme="minorHAnsi"/>
          <w:color w:val="000000"/>
          <w:sz w:val="24"/>
          <w:szCs w:val="24"/>
        </w:rPr>
        <w:t xml:space="preserve"> for Investors with less than 25 loans in service at SNSC</w:t>
      </w:r>
      <w:r w:rsidR="00C51A7A">
        <w:rPr>
          <w:rFonts w:asciiTheme="minorHAnsi" w:hAnsiTheme="minorHAnsi"/>
          <w:color w:val="000000"/>
          <w:sz w:val="24"/>
          <w:szCs w:val="24"/>
        </w:rPr>
        <w:t>,</w:t>
      </w:r>
      <w:r w:rsidR="003D7A07" w:rsidRPr="00C51A7A">
        <w:rPr>
          <w:rFonts w:asciiTheme="minorHAnsi" w:hAnsiTheme="minorHAnsi"/>
          <w:color w:val="000000"/>
          <w:sz w:val="24"/>
          <w:szCs w:val="24"/>
        </w:rPr>
        <w:t xml:space="preserve"> </w:t>
      </w:r>
      <w:r w:rsidR="00C51A7A" w:rsidRPr="00C51A7A">
        <w:rPr>
          <w:sz w:val="24"/>
          <w:szCs w:val="24"/>
        </w:rPr>
        <w:t>the Attorneys will</w:t>
      </w:r>
      <w:r w:rsidR="00C51A7A">
        <w:rPr>
          <w:sz w:val="24"/>
          <w:szCs w:val="24"/>
        </w:rPr>
        <w:t xml:space="preserve"> asked to</w:t>
      </w:r>
      <w:r w:rsidR="00C51A7A" w:rsidRPr="00C51A7A">
        <w:rPr>
          <w:sz w:val="24"/>
          <w:szCs w:val="24"/>
        </w:rPr>
        <w:t xml:space="preserve"> invoice the Investor directly.  If the Investor wants the expenses built </w:t>
      </w:r>
      <w:r w:rsidR="00C51A7A">
        <w:rPr>
          <w:sz w:val="24"/>
          <w:szCs w:val="24"/>
        </w:rPr>
        <w:t>to the balance of the loan, you</w:t>
      </w:r>
      <w:r w:rsidR="00C51A7A" w:rsidRPr="00C51A7A">
        <w:rPr>
          <w:sz w:val="24"/>
          <w:szCs w:val="24"/>
        </w:rPr>
        <w:t xml:space="preserve"> will need to provide SNSC with a copy of the invoice and proof of payment to do so.  </w:t>
      </w:r>
    </w:p>
    <w:p w:rsidR="002A6118" w:rsidRDefault="003D7A07" w:rsidP="008065C6">
      <w:pPr>
        <w:pStyle w:val="ListParagraph"/>
        <w:numPr>
          <w:ilvl w:val="0"/>
          <w:numId w:val="6"/>
        </w:numPr>
        <w:jc w:val="both"/>
        <w:rPr>
          <w:rFonts w:asciiTheme="minorHAnsi" w:hAnsiTheme="minorHAnsi"/>
          <w:color w:val="000000"/>
          <w:sz w:val="24"/>
          <w:szCs w:val="24"/>
        </w:rPr>
      </w:pPr>
      <w:r w:rsidRPr="008065C6">
        <w:rPr>
          <w:rFonts w:asciiTheme="minorHAnsi" w:hAnsiTheme="minorHAnsi"/>
          <w:color w:val="000000"/>
          <w:sz w:val="24"/>
          <w:szCs w:val="24"/>
        </w:rPr>
        <w:t>P</w:t>
      </w:r>
      <w:r w:rsidR="002A6118" w:rsidRPr="008065C6">
        <w:rPr>
          <w:rFonts w:asciiTheme="minorHAnsi" w:hAnsiTheme="minorHAnsi"/>
          <w:color w:val="000000"/>
          <w:sz w:val="24"/>
          <w:szCs w:val="24"/>
        </w:rPr>
        <w:t xml:space="preserve">lease become familiar with the required notifications and timelines </w:t>
      </w:r>
      <w:r w:rsidR="004B3073" w:rsidRPr="008065C6">
        <w:rPr>
          <w:rFonts w:asciiTheme="minorHAnsi" w:hAnsiTheme="minorHAnsi"/>
          <w:color w:val="000000"/>
          <w:sz w:val="24"/>
          <w:szCs w:val="24"/>
        </w:rPr>
        <w:t>at the end of this document</w:t>
      </w:r>
      <w:r w:rsidR="002A6118" w:rsidRPr="008065C6">
        <w:rPr>
          <w:rFonts w:asciiTheme="minorHAnsi" w:hAnsiTheme="minorHAnsi"/>
          <w:color w:val="000000"/>
          <w:sz w:val="24"/>
          <w:szCs w:val="24"/>
        </w:rPr>
        <w:t xml:space="preserve">.  </w:t>
      </w:r>
      <w:r w:rsidR="004B3073" w:rsidRPr="008065C6">
        <w:rPr>
          <w:rFonts w:asciiTheme="minorHAnsi" w:hAnsiTheme="minorHAnsi"/>
          <w:color w:val="000000"/>
          <w:sz w:val="24"/>
          <w:szCs w:val="24"/>
        </w:rPr>
        <w:t xml:space="preserve">It </w:t>
      </w:r>
      <w:r w:rsidR="002A6118" w:rsidRPr="008065C6">
        <w:rPr>
          <w:rFonts w:asciiTheme="minorHAnsi" w:hAnsiTheme="minorHAnsi"/>
          <w:color w:val="000000"/>
          <w:sz w:val="24"/>
          <w:szCs w:val="24"/>
        </w:rPr>
        <w:t>also provides common delays in collection activities and how you can help avoid them.</w:t>
      </w:r>
    </w:p>
    <w:p w:rsidR="00BE40F5" w:rsidRPr="00BE40F5" w:rsidRDefault="00BE40F5" w:rsidP="00BE40F5">
      <w:pPr>
        <w:pStyle w:val="ListParagraph"/>
        <w:numPr>
          <w:ilvl w:val="0"/>
          <w:numId w:val="6"/>
        </w:numPr>
        <w:jc w:val="both"/>
        <w:rPr>
          <w:rFonts w:asciiTheme="minorHAnsi" w:hAnsiTheme="minorHAnsi"/>
          <w:color w:val="000000"/>
          <w:sz w:val="24"/>
          <w:szCs w:val="24"/>
        </w:rPr>
      </w:pPr>
      <w:r>
        <w:rPr>
          <w:rFonts w:asciiTheme="minorHAnsi" w:hAnsiTheme="minorHAnsi"/>
          <w:color w:val="000000"/>
          <w:sz w:val="24"/>
          <w:szCs w:val="24"/>
        </w:rPr>
        <w:t>If you purchase</w:t>
      </w:r>
      <w:r w:rsidRPr="00E57BB9">
        <w:rPr>
          <w:rFonts w:asciiTheme="minorHAnsi" w:hAnsiTheme="minorHAnsi"/>
          <w:color w:val="000000"/>
          <w:sz w:val="24"/>
          <w:szCs w:val="24"/>
        </w:rPr>
        <w:t xml:space="preserve"> loans that are currently being serviced by SNSC</w:t>
      </w:r>
      <w:r>
        <w:rPr>
          <w:rFonts w:asciiTheme="minorHAnsi" w:hAnsiTheme="minorHAnsi"/>
          <w:color w:val="000000"/>
          <w:sz w:val="24"/>
          <w:szCs w:val="24"/>
        </w:rPr>
        <w:t xml:space="preserve"> both you and the selling </w:t>
      </w:r>
      <w:r w:rsidR="00AB5E8C">
        <w:rPr>
          <w:rFonts w:asciiTheme="minorHAnsi" w:hAnsiTheme="minorHAnsi"/>
          <w:color w:val="000000"/>
          <w:sz w:val="24"/>
          <w:szCs w:val="24"/>
        </w:rPr>
        <w:t>Investor</w:t>
      </w:r>
      <w:r>
        <w:rPr>
          <w:rFonts w:asciiTheme="minorHAnsi" w:hAnsiTheme="minorHAnsi"/>
          <w:color w:val="000000"/>
          <w:sz w:val="24"/>
          <w:szCs w:val="24"/>
        </w:rPr>
        <w:t xml:space="preserve"> must notify </w:t>
      </w:r>
      <w:r w:rsidR="00132BED">
        <w:rPr>
          <w:rFonts w:asciiTheme="minorHAnsi" w:hAnsiTheme="minorHAnsi"/>
          <w:color w:val="000000"/>
          <w:sz w:val="24"/>
          <w:szCs w:val="24"/>
        </w:rPr>
        <w:t>Robin Bostwick</w:t>
      </w:r>
      <w:r>
        <w:rPr>
          <w:rFonts w:asciiTheme="minorHAnsi" w:hAnsiTheme="minorHAnsi"/>
          <w:color w:val="000000"/>
          <w:sz w:val="24"/>
          <w:szCs w:val="24"/>
        </w:rPr>
        <w:t xml:space="preserve">, not </w:t>
      </w:r>
      <w:proofErr w:type="gramStart"/>
      <w:r>
        <w:rPr>
          <w:rFonts w:asciiTheme="minorHAnsi" w:hAnsiTheme="minorHAnsi"/>
          <w:color w:val="000000"/>
          <w:sz w:val="24"/>
          <w:szCs w:val="24"/>
        </w:rPr>
        <w:t>your</w:t>
      </w:r>
      <w:proofErr w:type="gramEnd"/>
      <w:r>
        <w:rPr>
          <w:rFonts w:asciiTheme="minorHAnsi" w:hAnsiTheme="minorHAnsi"/>
          <w:color w:val="000000"/>
          <w:sz w:val="24"/>
          <w:szCs w:val="24"/>
        </w:rPr>
        <w:t xml:space="preserve"> Asset Manager(s), of the sale/purchase, including Cutoff and Sale Dates, loan list and new Investor detail.  Loan(s)</w:t>
      </w:r>
      <w:r w:rsidRPr="00E57BB9">
        <w:rPr>
          <w:rFonts w:asciiTheme="minorHAnsi" w:hAnsiTheme="minorHAnsi"/>
          <w:color w:val="000000"/>
          <w:sz w:val="24"/>
          <w:szCs w:val="24"/>
        </w:rPr>
        <w:t xml:space="preserve"> will be </w:t>
      </w:r>
      <w:r>
        <w:rPr>
          <w:rFonts w:asciiTheme="minorHAnsi" w:hAnsiTheme="minorHAnsi"/>
          <w:color w:val="000000"/>
          <w:sz w:val="24"/>
          <w:szCs w:val="24"/>
        </w:rPr>
        <w:t xml:space="preserve">reassigned to your Investor account as quickly as various departments can process the change, which usually takes about one week from notification.  </w:t>
      </w:r>
      <w:r w:rsidRPr="00E57BB9">
        <w:rPr>
          <w:rFonts w:asciiTheme="minorHAnsi" w:hAnsiTheme="minorHAnsi"/>
          <w:color w:val="000000"/>
          <w:sz w:val="24"/>
          <w:szCs w:val="24"/>
        </w:rPr>
        <w:t>RESPA guidelines for service transfer are not applicable</w:t>
      </w:r>
      <w:r>
        <w:rPr>
          <w:rFonts w:asciiTheme="minorHAnsi" w:hAnsiTheme="minorHAnsi"/>
          <w:color w:val="000000"/>
          <w:sz w:val="24"/>
          <w:szCs w:val="24"/>
        </w:rPr>
        <w:t>.</w:t>
      </w:r>
    </w:p>
    <w:p w:rsidR="002A6118" w:rsidRPr="002A6118" w:rsidRDefault="002A6118" w:rsidP="00424975">
      <w:pPr>
        <w:jc w:val="both"/>
        <w:rPr>
          <w:rFonts w:asciiTheme="minorHAnsi" w:hAnsiTheme="minorHAnsi"/>
          <w:color w:val="000000"/>
          <w:sz w:val="24"/>
          <w:szCs w:val="24"/>
        </w:rPr>
      </w:pPr>
    </w:p>
    <w:p w:rsidR="002A6118" w:rsidRPr="002A6118" w:rsidRDefault="002A6118" w:rsidP="00424975">
      <w:pPr>
        <w:jc w:val="both"/>
        <w:rPr>
          <w:rFonts w:asciiTheme="minorHAnsi" w:hAnsiTheme="minorHAnsi"/>
          <w:color w:val="000000"/>
          <w:sz w:val="24"/>
          <w:szCs w:val="24"/>
        </w:rPr>
      </w:pPr>
      <w:r w:rsidRPr="002A6118">
        <w:rPr>
          <w:rFonts w:asciiTheme="minorHAnsi" w:hAnsiTheme="minorHAnsi"/>
          <w:color w:val="000000"/>
          <w:sz w:val="24"/>
          <w:szCs w:val="24"/>
        </w:rPr>
        <w:t>SNSC will provide a formal set of rep</w:t>
      </w:r>
      <w:r w:rsidR="004B3073">
        <w:rPr>
          <w:rFonts w:asciiTheme="minorHAnsi" w:hAnsiTheme="minorHAnsi"/>
          <w:color w:val="000000"/>
          <w:sz w:val="24"/>
          <w:szCs w:val="24"/>
        </w:rPr>
        <w:t>orts summarizing all collection activities</w:t>
      </w:r>
      <w:r w:rsidRPr="002A6118">
        <w:rPr>
          <w:rFonts w:asciiTheme="minorHAnsi" w:hAnsiTheme="minorHAnsi"/>
          <w:color w:val="000000"/>
          <w:sz w:val="24"/>
          <w:szCs w:val="24"/>
        </w:rPr>
        <w:t xml:space="preserve"> for a calendar month.  Please allow a minimum of 15 business days after month-end for the reports to be made available.  You will receive an email from Tim Touchton</w:t>
      </w:r>
      <w:r w:rsidR="008E360C">
        <w:rPr>
          <w:rFonts w:asciiTheme="minorHAnsi" w:hAnsiTheme="minorHAnsi"/>
          <w:color w:val="000000"/>
          <w:sz w:val="24"/>
          <w:szCs w:val="24"/>
        </w:rPr>
        <w:t>,</w:t>
      </w:r>
      <w:r>
        <w:rPr>
          <w:rFonts w:asciiTheme="minorHAnsi" w:hAnsiTheme="minorHAnsi"/>
          <w:color w:val="000000"/>
          <w:sz w:val="24"/>
          <w:szCs w:val="24"/>
        </w:rPr>
        <w:t xml:space="preserve"> or other staff</w:t>
      </w:r>
      <w:r w:rsidR="008E360C">
        <w:rPr>
          <w:rFonts w:asciiTheme="minorHAnsi" w:hAnsiTheme="minorHAnsi"/>
          <w:color w:val="000000"/>
          <w:sz w:val="24"/>
          <w:szCs w:val="24"/>
        </w:rPr>
        <w:t>,</w:t>
      </w:r>
      <w:r w:rsidRPr="002A6118">
        <w:rPr>
          <w:rFonts w:asciiTheme="minorHAnsi" w:hAnsiTheme="minorHAnsi"/>
          <w:color w:val="000000"/>
          <w:sz w:val="24"/>
          <w:szCs w:val="24"/>
        </w:rPr>
        <w:t xml:space="preserve"> when the reports are available for your review.  If funds are due to you, a summary Remittance report will be provided.  The funds will be sent to your account via next-day ACH</w:t>
      </w:r>
      <w:r w:rsidR="008E360C">
        <w:rPr>
          <w:rFonts w:asciiTheme="minorHAnsi" w:hAnsiTheme="minorHAnsi"/>
          <w:color w:val="000000"/>
          <w:sz w:val="24"/>
          <w:szCs w:val="24"/>
        </w:rPr>
        <w:t>,</w:t>
      </w:r>
      <w:r w:rsidR="00FF0DF1">
        <w:rPr>
          <w:rFonts w:asciiTheme="minorHAnsi" w:hAnsiTheme="minorHAnsi"/>
          <w:color w:val="000000"/>
          <w:sz w:val="24"/>
          <w:szCs w:val="24"/>
        </w:rPr>
        <w:t xml:space="preserve"> check or wire</w:t>
      </w:r>
      <w:r w:rsidR="00F70FE4">
        <w:rPr>
          <w:rFonts w:asciiTheme="minorHAnsi" w:hAnsiTheme="minorHAnsi"/>
          <w:color w:val="000000"/>
          <w:sz w:val="24"/>
          <w:szCs w:val="24"/>
        </w:rPr>
        <w:t>,</w:t>
      </w:r>
      <w:r w:rsidR="00FF0DF1">
        <w:rPr>
          <w:rFonts w:asciiTheme="minorHAnsi" w:hAnsiTheme="minorHAnsi"/>
          <w:color w:val="000000"/>
          <w:sz w:val="24"/>
          <w:szCs w:val="24"/>
        </w:rPr>
        <w:t xml:space="preserve"> as indicated on your Investor Questionnaire</w:t>
      </w:r>
      <w:r w:rsidRPr="002A6118">
        <w:rPr>
          <w:rFonts w:asciiTheme="minorHAnsi" w:hAnsiTheme="minorHAnsi"/>
          <w:color w:val="000000"/>
          <w:sz w:val="24"/>
          <w:szCs w:val="24"/>
        </w:rPr>
        <w:t>.  If there is a net negative balance in your account, you will be provided an Invoice.  Please submit payment within 5 business days to avoid any delays in vendor payments</w:t>
      </w:r>
      <w:r w:rsidR="00A55C2A">
        <w:rPr>
          <w:rFonts w:asciiTheme="minorHAnsi" w:hAnsiTheme="minorHAnsi"/>
          <w:color w:val="000000"/>
          <w:sz w:val="24"/>
          <w:szCs w:val="24"/>
        </w:rPr>
        <w:t>, or other processes you ask of SNSC</w:t>
      </w:r>
      <w:r w:rsidRPr="002A6118">
        <w:rPr>
          <w:rFonts w:asciiTheme="minorHAnsi" w:hAnsiTheme="minorHAnsi"/>
          <w:color w:val="000000"/>
          <w:sz w:val="24"/>
          <w:szCs w:val="24"/>
        </w:rPr>
        <w:t xml:space="preserve">.  Payment instructions will be provided on the Invoice.  If you have any questions regarding the availability of the reports, please contact Tim Touchton </w:t>
      </w:r>
      <w:hyperlink r:id="rId10" w:history="1">
        <w:r w:rsidRPr="002A6118">
          <w:rPr>
            <w:rStyle w:val="Hyperlink"/>
            <w:rFonts w:asciiTheme="minorHAnsi" w:hAnsiTheme="minorHAnsi"/>
            <w:color w:val="000000"/>
            <w:sz w:val="24"/>
            <w:szCs w:val="24"/>
          </w:rPr>
          <w:t>ttouchton@snsc.com</w:t>
        </w:r>
      </w:hyperlink>
      <w:r w:rsidRPr="002A6118">
        <w:rPr>
          <w:rFonts w:asciiTheme="minorHAnsi" w:hAnsiTheme="minorHAnsi"/>
          <w:color w:val="000000"/>
          <w:sz w:val="24"/>
          <w:szCs w:val="24"/>
        </w:rPr>
        <w:t xml:space="preserve">.  </w:t>
      </w:r>
    </w:p>
    <w:p w:rsidR="002A6118" w:rsidRPr="002A6118" w:rsidRDefault="002A6118" w:rsidP="00424975">
      <w:pPr>
        <w:jc w:val="both"/>
        <w:rPr>
          <w:rFonts w:asciiTheme="minorHAnsi" w:hAnsiTheme="minorHAnsi"/>
          <w:color w:val="000000"/>
          <w:sz w:val="24"/>
          <w:szCs w:val="24"/>
        </w:rPr>
      </w:pPr>
    </w:p>
    <w:p w:rsidR="002A6118" w:rsidRPr="002A6118" w:rsidRDefault="002A6118" w:rsidP="00424975">
      <w:pPr>
        <w:jc w:val="both"/>
        <w:rPr>
          <w:rFonts w:asciiTheme="minorHAnsi" w:hAnsiTheme="minorHAnsi"/>
          <w:color w:val="000000"/>
          <w:sz w:val="24"/>
          <w:szCs w:val="24"/>
        </w:rPr>
      </w:pPr>
      <w:r w:rsidRPr="002A6118">
        <w:rPr>
          <w:rFonts w:asciiTheme="minorHAnsi" w:hAnsiTheme="minorHAnsi"/>
          <w:color w:val="000000"/>
          <w:sz w:val="24"/>
          <w:szCs w:val="24"/>
        </w:rPr>
        <w:t>The monthly reports can be downloaded securely from the Shared Files Page.  Click on the link “SharedFiles” at the top of the screen when you first log in to the site.  Then, do the following to pull up the details:</w:t>
      </w:r>
    </w:p>
    <w:p w:rsidR="002A6118" w:rsidRPr="002A6118" w:rsidRDefault="002A6118" w:rsidP="00424975">
      <w:pPr>
        <w:ind w:left="720" w:hanging="360"/>
        <w:jc w:val="both"/>
        <w:rPr>
          <w:rFonts w:asciiTheme="minorHAnsi" w:hAnsiTheme="minorHAnsi"/>
          <w:color w:val="000000"/>
          <w:sz w:val="24"/>
          <w:szCs w:val="24"/>
        </w:rPr>
      </w:pPr>
      <w:r w:rsidRPr="002A6118">
        <w:rPr>
          <w:rFonts w:asciiTheme="minorHAnsi" w:hAnsiTheme="minorHAnsi"/>
          <w:color w:val="000000"/>
          <w:sz w:val="24"/>
          <w:szCs w:val="24"/>
        </w:rPr>
        <w:t xml:space="preserve">1)      Click the hyperlink zip file in the upper left corner of the list.  </w:t>
      </w:r>
    </w:p>
    <w:p w:rsidR="002A6118" w:rsidRPr="002A6118" w:rsidRDefault="002A6118" w:rsidP="00424975">
      <w:pPr>
        <w:ind w:left="720" w:hanging="360"/>
        <w:jc w:val="both"/>
        <w:rPr>
          <w:rFonts w:asciiTheme="minorHAnsi" w:hAnsiTheme="minorHAnsi"/>
          <w:color w:val="000000"/>
          <w:sz w:val="24"/>
          <w:szCs w:val="24"/>
        </w:rPr>
      </w:pPr>
      <w:r w:rsidRPr="002A6118">
        <w:rPr>
          <w:rFonts w:asciiTheme="minorHAnsi" w:hAnsiTheme="minorHAnsi"/>
          <w:color w:val="000000"/>
          <w:sz w:val="24"/>
          <w:szCs w:val="24"/>
        </w:rPr>
        <w:t>2)      Once the file is downloaded to your desktop, click the icon and open the files.</w:t>
      </w:r>
    </w:p>
    <w:p w:rsidR="002A6118" w:rsidRPr="002A6118" w:rsidRDefault="002A6118" w:rsidP="00424975">
      <w:pPr>
        <w:ind w:left="720" w:hanging="360"/>
        <w:jc w:val="both"/>
        <w:rPr>
          <w:rFonts w:asciiTheme="minorHAnsi" w:hAnsiTheme="minorHAnsi"/>
          <w:color w:val="000000"/>
          <w:sz w:val="24"/>
          <w:szCs w:val="24"/>
        </w:rPr>
      </w:pPr>
      <w:r w:rsidRPr="002A6118">
        <w:rPr>
          <w:rFonts w:asciiTheme="minorHAnsi" w:hAnsiTheme="minorHAnsi"/>
          <w:color w:val="000000"/>
          <w:sz w:val="24"/>
          <w:szCs w:val="24"/>
        </w:rPr>
        <w:t>3)      The PDF document shows the summary remittance / invoice for the month.</w:t>
      </w:r>
    </w:p>
    <w:p w:rsidR="002A6118" w:rsidRPr="002A6118" w:rsidRDefault="002A6118" w:rsidP="00424975">
      <w:pPr>
        <w:ind w:left="720" w:hanging="360"/>
        <w:jc w:val="both"/>
        <w:rPr>
          <w:rFonts w:asciiTheme="minorHAnsi" w:hAnsiTheme="minorHAnsi"/>
          <w:color w:val="000000"/>
          <w:sz w:val="24"/>
          <w:szCs w:val="24"/>
        </w:rPr>
      </w:pPr>
      <w:r w:rsidRPr="002A6118">
        <w:rPr>
          <w:rFonts w:asciiTheme="minorHAnsi" w:hAnsiTheme="minorHAnsi"/>
          <w:color w:val="000000"/>
          <w:sz w:val="24"/>
          <w:szCs w:val="24"/>
        </w:rPr>
        <w:lastRenderedPageBreak/>
        <w:t xml:space="preserve">4)      The multi-tab spreadsheet provides the detail </w:t>
      </w:r>
      <w:r w:rsidR="00F70FE4" w:rsidRPr="002A6118">
        <w:rPr>
          <w:rFonts w:asciiTheme="minorHAnsi" w:hAnsiTheme="minorHAnsi"/>
          <w:color w:val="000000"/>
          <w:sz w:val="24"/>
          <w:szCs w:val="24"/>
        </w:rPr>
        <w:t>that tie</w:t>
      </w:r>
      <w:r w:rsidRPr="002A6118">
        <w:rPr>
          <w:rFonts w:asciiTheme="minorHAnsi" w:hAnsiTheme="minorHAnsi"/>
          <w:color w:val="000000"/>
          <w:sz w:val="24"/>
          <w:szCs w:val="24"/>
        </w:rPr>
        <w:t xml:space="preserve"> to the Invoice.  The first three tabs have the details broken out by Principal, Interest, Other, and Expenses.  The spreadsheet contains the following tabs:</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a.       InvestorPeriodSummaries – Shows all details summarized at the Investor Level</w:t>
      </w:r>
      <w:r w:rsidR="00327E98">
        <w:rPr>
          <w:rFonts w:asciiTheme="minorHAnsi" w:hAnsiTheme="minorHAnsi"/>
          <w:color w:val="000000"/>
          <w:sz w:val="24"/>
          <w:szCs w:val="24"/>
        </w:rPr>
        <w:t>.</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b.       LoanSummaries – Shows all details summarized at the Loan Level</w:t>
      </w:r>
      <w:r w:rsidR="00327E98">
        <w:rPr>
          <w:rFonts w:asciiTheme="minorHAnsi" w:hAnsiTheme="minorHAnsi"/>
          <w:color w:val="000000"/>
          <w:sz w:val="24"/>
          <w:szCs w:val="24"/>
        </w:rPr>
        <w:t>.</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c.       Transaction Detail – Shows all transaction details for the period</w:t>
      </w:r>
      <w:r w:rsidR="00327E98">
        <w:rPr>
          <w:rFonts w:asciiTheme="minorHAnsi" w:hAnsiTheme="minorHAnsi"/>
          <w:color w:val="000000"/>
          <w:sz w:val="24"/>
          <w:szCs w:val="24"/>
        </w:rPr>
        <w:t>.</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d.       CorpAdvanceDetail – Schedule that shows just the Corporate Advances made for the period and some additional details.</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e.       AncillaryFeeDetail – Schedule that shows just the Ancillary Fees collected for the period and some additional details.</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f.        Servicing Fee Detail - Schedule that shows just the Servicing Fees assessed for the period and some additional details.</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g.       Escrow Detail – Shows all Escrow related activity for the period</w:t>
      </w:r>
      <w:r w:rsidR="00327E98">
        <w:rPr>
          <w:rFonts w:asciiTheme="minorHAnsi" w:hAnsiTheme="minorHAnsi"/>
          <w:color w:val="000000"/>
          <w:sz w:val="24"/>
          <w:szCs w:val="24"/>
        </w:rPr>
        <w:t>.</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h.       Unapplied Detail – Shows all Unapplied payment details for the period</w:t>
      </w:r>
      <w:r w:rsidR="00327E98">
        <w:rPr>
          <w:rFonts w:asciiTheme="minorHAnsi" w:hAnsiTheme="minorHAnsi"/>
          <w:color w:val="000000"/>
          <w:sz w:val="24"/>
          <w:szCs w:val="24"/>
        </w:rPr>
        <w:t>.</w:t>
      </w:r>
    </w:p>
    <w:p w:rsidR="002A6118" w:rsidRPr="002A6118" w:rsidRDefault="002A6118" w:rsidP="00424975">
      <w:pPr>
        <w:ind w:left="1440" w:hanging="360"/>
        <w:jc w:val="both"/>
        <w:rPr>
          <w:rFonts w:asciiTheme="minorHAnsi" w:hAnsiTheme="minorHAnsi"/>
          <w:color w:val="000000"/>
          <w:sz w:val="24"/>
          <w:szCs w:val="24"/>
        </w:rPr>
      </w:pPr>
      <w:r w:rsidRPr="002A6118">
        <w:rPr>
          <w:rFonts w:asciiTheme="minorHAnsi" w:hAnsiTheme="minorHAnsi"/>
          <w:color w:val="000000"/>
          <w:sz w:val="24"/>
          <w:szCs w:val="24"/>
        </w:rPr>
        <w:t>i.         LoanSnapshotxxx – Snapshot of critical loan data elements as of month-end.</w:t>
      </w:r>
    </w:p>
    <w:p w:rsidR="002A6118" w:rsidRPr="002A6118" w:rsidRDefault="002A6118" w:rsidP="00424975">
      <w:pPr>
        <w:ind w:left="720"/>
        <w:jc w:val="both"/>
        <w:rPr>
          <w:rFonts w:asciiTheme="minorHAnsi" w:hAnsiTheme="minorHAnsi"/>
          <w:color w:val="000000"/>
          <w:sz w:val="24"/>
          <w:szCs w:val="24"/>
        </w:rPr>
      </w:pPr>
    </w:p>
    <w:p w:rsidR="002A6118" w:rsidRPr="002A6118" w:rsidRDefault="002A6118" w:rsidP="00424975">
      <w:pPr>
        <w:jc w:val="both"/>
        <w:rPr>
          <w:rFonts w:asciiTheme="minorHAnsi" w:hAnsiTheme="minorHAnsi"/>
          <w:color w:val="000000"/>
          <w:sz w:val="24"/>
          <w:szCs w:val="24"/>
        </w:rPr>
      </w:pPr>
      <w:r w:rsidRPr="002A6118">
        <w:rPr>
          <w:rFonts w:asciiTheme="minorHAnsi" w:hAnsiTheme="minorHAnsi"/>
          <w:color w:val="000000"/>
          <w:sz w:val="24"/>
          <w:szCs w:val="24"/>
        </w:rPr>
        <w:t xml:space="preserve">Reports are available on-line for b through f above so you can see transaction detail real-time.  Contact Matt Deibler </w:t>
      </w:r>
      <w:hyperlink r:id="rId11" w:history="1">
        <w:r w:rsidRPr="002A6118">
          <w:rPr>
            <w:rStyle w:val="Hyperlink"/>
            <w:rFonts w:asciiTheme="minorHAnsi" w:hAnsiTheme="minorHAnsi"/>
            <w:sz w:val="24"/>
            <w:szCs w:val="24"/>
          </w:rPr>
          <w:t>mdeibler@snsc.com</w:t>
        </w:r>
      </w:hyperlink>
      <w:r w:rsidRPr="002A6118">
        <w:rPr>
          <w:rFonts w:asciiTheme="minorHAnsi" w:hAnsiTheme="minorHAnsi"/>
          <w:color w:val="1F497D"/>
          <w:sz w:val="24"/>
          <w:szCs w:val="24"/>
        </w:rPr>
        <w:t xml:space="preserve"> </w:t>
      </w:r>
      <w:r w:rsidRPr="002A6118">
        <w:rPr>
          <w:rFonts w:asciiTheme="minorHAnsi" w:hAnsiTheme="minorHAnsi"/>
          <w:color w:val="000000"/>
          <w:sz w:val="24"/>
          <w:szCs w:val="24"/>
        </w:rPr>
        <w:t xml:space="preserve">for any questions regarding the Web site.  Contact </w:t>
      </w:r>
      <w:hyperlink r:id="rId12" w:history="1">
        <w:r w:rsidRPr="002A6118">
          <w:rPr>
            <w:rStyle w:val="Hyperlink"/>
            <w:rFonts w:asciiTheme="minorHAnsi" w:hAnsiTheme="minorHAnsi"/>
            <w:sz w:val="24"/>
            <w:szCs w:val="24"/>
          </w:rPr>
          <w:t>CovingtonAccounting@snsc.com</w:t>
        </w:r>
      </w:hyperlink>
      <w:r w:rsidRPr="002A6118">
        <w:rPr>
          <w:rFonts w:asciiTheme="minorHAnsi" w:hAnsiTheme="minorHAnsi"/>
          <w:color w:val="000000"/>
          <w:sz w:val="24"/>
          <w:szCs w:val="24"/>
        </w:rPr>
        <w:t xml:space="preserve"> for any questions regarding the remittance reports after they are delivered.   </w:t>
      </w:r>
    </w:p>
    <w:p w:rsidR="002A6118" w:rsidRPr="002A6118" w:rsidRDefault="002A6118" w:rsidP="00424975">
      <w:pPr>
        <w:jc w:val="both"/>
        <w:rPr>
          <w:rFonts w:asciiTheme="minorHAnsi" w:hAnsiTheme="minorHAnsi"/>
          <w:color w:val="000000"/>
          <w:sz w:val="24"/>
          <w:szCs w:val="24"/>
        </w:rPr>
      </w:pPr>
    </w:p>
    <w:p w:rsidR="004A5187" w:rsidRDefault="00545636" w:rsidP="002E5CCE">
      <w:pPr>
        <w:jc w:val="both"/>
        <w:rPr>
          <w:rFonts w:asciiTheme="minorHAnsi" w:hAnsiTheme="minorHAnsi"/>
          <w:color w:val="000000"/>
          <w:sz w:val="24"/>
          <w:szCs w:val="24"/>
        </w:rPr>
      </w:pPr>
      <w:r>
        <w:rPr>
          <w:rFonts w:asciiTheme="minorHAnsi" w:hAnsiTheme="minorHAnsi"/>
          <w:color w:val="000000"/>
          <w:sz w:val="24"/>
          <w:szCs w:val="24"/>
        </w:rPr>
        <w:t>W</w:t>
      </w:r>
      <w:r w:rsidRPr="002A6118">
        <w:rPr>
          <w:rFonts w:asciiTheme="minorHAnsi" w:hAnsiTheme="minorHAnsi"/>
          <w:color w:val="000000"/>
          <w:sz w:val="24"/>
          <w:szCs w:val="24"/>
        </w:rPr>
        <w:t xml:space="preserve">ithin 24-48 hours of </w:t>
      </w:r>
      <w:r>
        <w:rPr>
          <w:rFonts w:asciiTheme="minorHAnsi" w:hAnsiTheme="minorHAnsi"/>
          <w:color w:val="000000"/>
          <w:sz w:val="24"/>
          <w:szCs w:val="24"/>
        </w:rPr>
        <w:t>a request,</w:t>
      </w:r>
      <w:r w:rsidRPr="002A6118">
        <w:rPr>
          <w:rFonts w:asciiTheme="minorHAnsi" w:hAnsiTheme="minorHAnsi"/>
          <w:color w:val="000000"/>
          <w:sz w:val="24"/>
          <w:szCs w:val="24"/>
        </w:rPr>
        <w:t xml:space="preserve"> </w:t>
      </w:r>
      <w:r>
        <w:rPr>
          <w:rFonts w:asciiTheme="minorHAnsi" w:hAnsiTheme="minorHAnsi"/>
          <w:color w:val="000000"/>
          <w:sz w:val="24"/>
          <w:szCs w:val="24"/>
        </w:rPr>
        <w:t>y</w:t>
      </w:r>
      <w:r w:rsidR="00F80E8C">
        <w:rPr>
          <w:rFonts w:asciiTheme="minorHAnsi" w:hAnsiTheme="minorHAnsi"/>
          <w:color w:val="000000"/>
          <w:sz w:val="24"/>
          <w:szCs w:val="24"/>
        </w:rPr>
        <w:t>our Asset</w:t>
      </w:r>
      <w:r w:rsidR="002A6118" w:rsidRPr="002A6118">
        <w:rPr>
          <w:rFonts w:asciiTheme="minorHAnsi" w:hAnsiTheme="minorHAnsi"/>
          <w:color w:val="000000"/>
          <w:sz w:val="24"/>
          <w:szCs w:val="24"/>
        </w:rPr>
        <w:t xml:space="preserve"> Manager should be able to a</w:t>
      </w:r>
      <w:r>
        <w:rPr>
          <w:rFonts w:asciiTheme="minorHAnsi" w:hAnsiTheme="minorHAnsi"/>
          <w:color w:val="000000"/>
          <w:sz w:val="24"/>
          <w:szCs w:val="24"/>
        </w:rPr>
        <w:t>ssist with any questions you</w:t>
      </w:r>
      <w:r w:rsidR="002A6118" w:rsidRPr="002A6118">
        <w:rPr>
          <w:rFonts w:asciiTheme="minorHAnsi" w:hAnsiTheme="minorHAnsi"/>
          <w:color w:val="000000"/>
          <w:sz w:val="24"/>
          <w:szCs w:val="24"/>
        </w:rPr>
        <w:t xml:space="preserve"> have</w:t>
      </w:r>
      <w:r>
        <w:rPr>
          <w:rFonts w:asciiTheme="minorHAnsi" w:hAnsiTheme="minorHAnsi"/>
          <w:color w:val="000000"/>
          <w:sz w:val="24"/>
          <w:szCs w:val="24"/>
        </w:rPr>
        <w:t xml:space="preserve">. </w:t>
      </w:r>
      <w:r w:rsidR="002A6118" w:rsidRPr="002A6118">
        <w:rPr>
          <w:rFonts w:asciiTheme="minorHAnsi" w:hAnsiTheme="minorHAnsi"/>
          <w:color w:val="000000"/>
          <w:sz w:val="24"/>
          <w:szCs w:val="24"/>
        </w:rPr>
        <w:t> </w:t>
      </w:r>
      <w:r>
        <w:rPr>
          <w:rFonts w:asciiTheme="minorHAnsi" w:hAnsiTheme="minorHAnsi"/>
          <w:color w:val="000000"/>
          <w:sz w:val="24"/>
          <w:szCs w:val="24"/>
        </w:rPr>
        <w:t>He or she</w:t>
      </w:r>
      <w:r w:rsidR="002A6118" w:rsidRPr="002A6118">
        <w:rPr>
          <w:rFonts w:asciiTheme="minorHAnsi" w:hAnsiTheme="minorHAnsi"/>
          <w:color w:val="000000"/>
          <w:sz w:val="24"/>
          <w:szCs w:val="24"/>
        </w:rPr>
        <w:t xml:space="preserve"> can be contacted via phone, email, or “Secure Request” as provided on the Web site.</w:t>
      </w:r>
    </w:p>
    <w:p w:rsidR="00A55C2A" w:rsidRDefault="00A55C2A" w:rsidP="002E5CCE">
      <w:pPr>
        <w:jc w:val="both"/>
        <w:rPr>
          <w:rFonts w:asciiTheme="minorHAnsi" w:hAnsiTheme="minorHAnsi"/>
          <w:color w:val="000000"/>
          <w:sz w:val="24"/>
          <w:szCs w:val="24"/>
        </w:rPr>
      </w:pPr>
    </w:p>
    <w:p w:rsidR="00C32614" w:rsidRDefault="00241CBE" w:rsidP="002E5CCE">
      <w:pPr>
        <w:jc w:val="both"/>
        <w:rPr>
          <w:rFonts w:asciiTheme="minorHAnsi" w:hAnsiTheme="minorHAnsi"/>
          <w:color w:val="000000"/>
          <w:sz w:val="24"/>
          <w:szCs w:val="24"/>
        </w:rPr>
      </w:pPr>
      <w:r>
        <w:rPr>
          <w:rFonts w:asciiTheme="minorHAnsi" w:hAnsiTheme="minorHAnsi"/>
          <w:color w:val="000000"/>
          <w:sz w:val="24"/>
          <w:szCs w:val="24"/>
        </w:rPr>
        <w:t xml:space="preserve">In the event you sell your loan(s) or choose to move servicing to another servicer, please contact </w:t>
      </w:r>
      <w:r w:rsidR="00132BED">
        <w:rPr>
          <w:rFonts w:asciiTheme="minorHAnsi" w:hAnsiTheme="minorHAnsi"/>
          <w:color w:val="000000"/>
          <w:sz w:val="24"/>
          <w:szCs w:val="24"/>
        </w:rPr>
        <w:t>Robin Bostwick</w:t>
      </w:r>
      <w:r>
        <w:rPr>
          <w:rFonts w:asciiTheme="minorHAnsi" w:hAnsiTheme="minorHAnsi"/>
          <w:color w:val="000000"/>
          <w:sz w:val="24"/>
          <w:szCs w:val="24"/>
        </w:rPr>
        <w:t xml:space="preserve"> </w:t>
      </w:r>
      <w:hyperlink r:id="rId13" w:history="1">
        <w:r w:rsidR="00132BED" w:rsidRPr="002D3556">
          <w:rPr>
            <w:rStyle w:val="Hyperlink"/>
          </w:rPr>
          <w:t>RBostwick@snsc.com</w:t>
        </w:r>
      </w:hyperlink>
      <w:r w:rsidR="00132BED">
        <w:t xml:space="preserve"> </w:t>
      </w:r>
      <w:r>
        <w:rPr>
          <w:rFonts w:asciiTheme="minorHAnsi" w:hAnsiTheme="minorHAnsi"/>
          <w:color w:val="000000"/>
          <w:sz w:val="24"/>
          <w:szCs w:val="24"/>
        </w:rPr>
        <w:t>to arrange a service transfer</w:t>
      </w:r>
      <w:r w:rsidR="00955541">
        <w:rPr>
          <w:rFonts w:asciiTheme="minorHAnsi" w:hAnsiTheme="minorHAnsi"/>
          <w:color w:val="000000"/>
          <w:sz w:val="24"/>
          <w:szCs w:val="24"/>
        </w:rPr>
        <w:t>,</w:t>
      </w:r>
      <w:r>
        <w:rPr>
          <w:rFonts w:asciiTheme="minorHAnsi" w:hAnsiTheme="minorHAnsi"/>
          <w:color w:val="000000"/>
          <w:sz w:val="24"/>
          <w:szCs w:val="24"/>
        </w:rPr>
        <w:t xml:space="preserve"> or reassignment  if the loan</w:t>
      </w:r>
      <w:r w:rsidR="00913E12">
        <w:rPr>
          <w:rFonts w:asciiTheme="minorHAnsi" w:hAnsiTheme="minorHAnsi"/>
          <w:color w:val="000000"/>
          <w:sz w:val="24"/>
          <w:szCs w:val="24"/>
        </w:rPr>
        <w:t>(</w:t>
      </w:r>
      <w:r>
        <w:rPr>
          <w:rFonts w:asciiTheme="minorHAnsi" w:hAnsiTheme="minorHAnsi"/>
          <w:color w:val="000000"/>
          <w:sz w:val="24"/>
          <w:szCs w:val="24"/>
        </w:rPr>
        <w:t>s</w:t>
      </w:r>
      <w:r w:rsidR="00913E12">
        <w:rPr>
          <w:rFonts w:asciiTheme="minorHAnsi" w:hAnsiTheme="minorHAnsi"/>
          <w:color w:val="000000"/>
          <w:sz w:val="24"/>
          <w:szCs w:val="24"/>
        </w:rPr>
        <w:t>)</w:t>
      </w:r>
      <w:r>
        <w:rPr>
          <w:rFonts w:asciiTheme="minorHAnsi" w:hAnsiTheme="minorHAnsi"/>
          <w:color w:val="000000"/>
          <w:sz w:val="24"/>
          <w:szCs w:val="24"/>
        </w:rPr>
        <w:t xml:space="preserve"> are to remain at SNSC.</w:t>
      </w:r>
      <w:r w:rsidR="00BE40F5">
        <w:rPr>
          <w:rFonts w:asciiTheme="minorHAnsi" w:hAnsiTheme="minorHAnsi"/>
          <w:color w:val="000000"/>
          <w:sz w:val="24"/>
          <w:szCs w:val="24"/>
        </w:rPr>
        <w:t xml:space="preserve">  Please provide purchasing Investor name, Cutoff and Sale Dates, new servicer information and loan list, or a copy of your Purchase and Sale Agreement, including these details.</w:t>
      </w:r>
      <w:r w:rsidR="00635596">
        <w:rPr>
          <w:rFonts w:asciiTheme="minorHAnsi" w:hAnsiTheme="minorHAnsi"/>
          <w:color w:val="000000"/>
          <w:sz w:val="24"/>
          <w:szCs w:val="24"/>
        </w:rPr>
        <w:t xml:space="preserve">  SNSC cannot schedule transfers until all ou</w:t>
      </w:r>
      <w:r w:rsidR="00913E12">
        <w:rPr>
          <w:rFonts w:asciiTheme="minorHAnsi" w:hAnsiTheme="minorHAnsi"/>
          <w:color w:val="000000"/>
          <w:sz w:val="24"/>
          <w:szCs w:val="24"/>
        </w:rPr>
        <w:t>tstanding fees and invoices are paid current.</w:t>
      </w:r>
      <w:r w:rsidR="002A6118" w:rsidRPr="002A6118">
        <w:rPr>
          <w:rFonts w:asciiTheme="minorHAnsi" w:hAnsiTheme="minorHAnsi"/>
          <w:color w:val="000000"/>
          <w:sz w:val="24"/>
          <w:szCs w:val="24"/>
        </w:rPr>
        <w:br w:type="page"/>
      </w:r>
    </w:p>
    <w:p w:rsidR="00C32614" w:rsidRPr="00C32614" w:rsidRDefault="00C32614" w:rsidP="00C32614">
      <w:pPr>
        <w:jc w:val="center"/>
        <w:rPr>
          <w:rFonts w:asciiTheme="minorHAnsi" w:hAnsiTheme="minorHAnsi"/>
          <w:b/>
          <w:color w:val="000000"/>
          <w:sz w:val="28"/>
          <w:szCs w:val="28"/>
        </w:rPr>
      </w:pPr>
      <w:r w:rsidRPr="00C32614">
        <w:rPr>
          <w:rFonts w:asciiTheme="minorHAnsi" w:hAnsiTheme="minorHAnsi"/>
          <w:b/>
          <w:color w:val="000000"/>
          <w:sz w:val="28"/>
          <w:szCs w:val="28"/>
        </w:rPr>
        <w:lastRenderedPageBreak/>
        <w:t xml:space="preserve">What the Borrower </w:t>
      </w:r>
      <w:r w:rsidR="00ED7AE7">
        <w:rPr>
          <w:rFonts w:asciiTheme="minorHAnsi" w:hAnsiTheme="minorHAnsi"/>
          <w:b/>
          <w:color w:val="000000"/>
          <w:sz w:val="28"/>
          <w:szCs w:val="28"/>
        </w:rPr>
        <w:t>W</w:t>
      </w:r>
      <w:r w:rsidRPr="00C32614">
        <w:rPr>
          <w:rFonts w:asciiTheme="minorHAnsi" w:hAnsiTheme="minorHAnsi"/>
          <w:b/>
          <w:color w:val="000000"/>
          <w:sz w:val="28"/>
          <w:szCs w:val="28"/>
        </w:rPr>
        <w:t xml:space="preserve">ill </w:t>
      </w:r>
      <w:r w:rsidR="00ED7AE7">
        <w:rPr>
          <w:rFonts w:asciiTheme="minorHAnsi" w:hAnsiTheme="minorHAnsi"/>
          <w:b/>
          <w:color w:val="000000"/>
          <w:sz w:val="28"/>
          <w:szCs w:val="28"/>
        </w:rPr>
        <w:t>E</w:t>
      </w:r>
      <w:r w:rsidRPr="00C32614">
        <w:rPr>
          <w:rFonts w:asciiTheme="minorHAnsi" w:hAnsiTheme="minorHAnsi"/>
          <w:b/>
          <w:color w:val="000000"/>
          <w:sz w:val="28"/>
          <w:szCs w:val="28"/>
        </w:rPr>
        <w:t>xpect</w:t>
      </w:r>
    </w:p>
    <w:p w:rsidR="00C32614" w:rsidRDefault="00C32614" w:rsidP="002E5CCE">
      <w:pPr>
        <w:jc w:val="both"/>
      </w:pPr>
      <w:r>
        <w:rPr>
          <w:rFonts w:asciiTheme="minorHAnsi" w:hAnsiTheme="minorHAnsi"/>
          <w:color w:val="000000"/>
          <w:sz w:val="24"/>
          <w:szCs w:val="24"/>
        </w:rPr>
        <w:t xml:space="preserve">As outlined below, the borrowers will be sent a Goodbye Letter from the Prior Servicer and a Hello Letter from SN Servicing with information about the transfer and who to contact going forward.  Please note that the FDCPA letter is written based on the model letter provided by the CFPB on page 335 of </w:t>
      </w:r>
      <w:hyperlink r:id="rId14" w:history="1">
        <w:r>
          <w:rPr>
            <w:rStyle w:val="Hyperlink"/>
          </w:rPr>
          <w:t>https://files.consumerfinance.gov/f/documents/cfpb_debt-collection_final-rule_2020-12.pdf</w:t>
        </w:r>
      </w:hyperlink>
      <w:r>
        <w:t>.  It will state that we are a debt collector and we are</w:t>
      </w:r>
      <w:r w:rsidR="005C51B6">
        <w:t xml:space="preserve"> attempting to collect a debt, which does confuse borrowers who are making regular payments.  SN will do their bes</w:t>
      </w:r>
      <w:r w:rsidR="007A33FF">
        <w:t>t to alleviate these concerns in the Welcome Call</w:t>
      </w:r>
      <w:r w:rsidR="00ED7AE7">
        <w:t xml:space="preserve"> mentioned below</w:t>
      </w:r>
      <w:r w:rsidR="007A33FF">
        <w:t xml:space="preserve">.  </w:t>
      </w:r>
    </w:p>
    <w:p w:rsidR="005C51B6" w:rsidRDefault="005C51B6" w:rsidP="002E5CCE">
      <w:pPr>
        <w:jc w:val="both"/>
      </w:pPr>
    </w:p>
    <w:p w:rsidR="005C51B6" w:rsidRDefault="005C51B6" w:rsidP="005C51B6">
      <w:pPr>
        <w:pStyle w:val="PlainText"/>
      </w:pPr>
      <w:r>
        <w:t>The borrowers will be requested to change their home owner insurance policies so SN is listed.  Until the borrower has provided a new declaration page showing SN</w:t>
      </w:r>
      <w:r w:rsidR="007A33FF">
        <w:t xml:space="preserve"> as a listed party</w:t>
      </w:r>
      <w:r>
        <w:t xml:space="preserve">, they may receive notices stating that we do not have adequate insurance information and forced place insurance may be applied.  </w:t>
      </w:r>
      <w:bookmarkStart w:id="0" w:name="_GoBack"/>
      <w:bookmarkEnd w:id="0"/>
      <w:r>
        <w:t xml:space="preserve">Our system automatically identifies any loans without complete policy information (or expiring policies) at the beginning of the month and proactively sends out the notices to be sure there is no lapse in coverage.  The HOI needs to reference the Servicer of record as the servicer is the party that will be receiving the loss draft funds, managing the funds, and making the loss draft disbursements on behalf of the </w:t>
      </w:r>
      <w:r w:rsidR="007A33FF">
        <w:t>Investor</w:t>
      </w:r>
      <w:r>
        <w:t xml:space="preserve">.  </w:t>
      </w:r>
    </w:p>
    <w:p w:rsidR="005C51B6" w:rsidRDefault="005C51B6" w:rsidP="002E5CCE">
      <w:pPr>
        <w:jc w:val="both"/>
      </w:pPr>
    </w:p>
    <w:p w:rsidR="005C51B6" w:rsidRDefault="005C51B6" w:rsidP="002E5CCE">
      <w:pPr>
        <w:jc w:val="both"/>
        <w:rPr>
          <w:rFonts w:asciiTheme="minorHAnsi" w:hAnsiTheme="minorHAnsi"/>
          <w:color w:val="000000"/>
          <w:sz w:val="24"/>
          <w:szCs w:val="24"/>
        </w:rPr>
      </w:pPr>
      <w:r>
        <w:t xml:space="preserve">If the borrower had set up an automatic ACH draw with their previous servicer, they </w:t>
      </w:r>
      <w:r w:rsidR="007A33FF">
        <w:t xml:space="preserve">are required </w:t>
      </w:r>
      <w:r>
        <w:t xml:space="preserve">to set </w:t>
      </w:r>
      <w:r w:rsidR="00A010A9">
        <w:t>it</w:t>
      </w:r>
      <w:r>
        <w:t xml:space="preserve"> up on SNSC’s borrower web site or provide written authorization so SN can perform the draws.  It is required that a party drawing funds has been provided explicit authority to do so.  It is not possible to use the prior servicer payment information to continue the draws at SN.  </w:t>
      </w:r>
    </w:p>
    <w:p w:rsidR="00C32614" w:rsidRDefault="00C32614" w:rsidP="002E5CCE">
      <w:pPr>
        <w:jc w:val="both"/>
        <w:rPr>
          <w:rFonts w:asciiTheme="minorHAnsi" w:hAnsiTheme="minorHAnsi"/>
          <w:color w:val="000000"/>
          <w:sz w:val="24"/>
          <w:szCs w:val="24"/>
        </w:rPr>
      </w:pPr>
    </w:p>
    <w:p w:rsidR="00C32614" w:rsidRPr="002A6118" w:rsidRDefault="00C32614" w:rsidP="002E5CCE">
      <w:pPr>
        <w:jc w:val="both"/>
        <w:rPr>
          <w:rFonts w:asciiTheme="minorHAnsi" w:hAnsiTheme="minorHAnsi"/>
          <w:color w:val="000000"/>
          <w:sz w:val="24"/>
          <w:szCs w:val="24"/>
        </w:rPr>
      </w:pPr>
    </w:p>
    <w:p w:rsidR="002A6118" w:rsidRPr="002A6118" w:rsidRDefault="002A6118" w:rsidP="002A6118">
      <w:pPr>
        <w:jc w:val="center"/>
        <w:rPr>
          <w:rFonts w:asciiTheme="minorHAnsi" w:hAnsiTheme="minorHAnsi"/>
          <w:b/>
          <w:color w:val="0D0D0D" w:themeColor="text1" w:themeTint="F2"/>
          <w:sz w:val="28"/>
          <w:szCs w:val="28"/>
        </w:rPr>
      </w:pPr>
      <w:r w:rsidRPr="002A6118">
        <w:rPr>
          <w:rFonts w:asciiTheme="minorHAnsi" w:hAnsiTheme="minorHAnsi"/>
          <w:b/>
          <w:color w:val="0D0D0D" w:themeColor="text1" w:themeTint="F2"/>
          <w:sz w:val="28"/>
          <w:szCs w:val="28"/>
        </w:rPr>
        <w:t>Minimum Timelines</w:t>
      </w:r>
      <w:r w:rsidR="00E153E7">
        <w:rPr>
          <w:rFonts w:asciiTheme="minorHAnsi" w:hAnsiTheme="minorHAnsi"/>
          <w:b/>
          <w:color w:val="0D0D0D" w:themeColor="text1" w:themeTint="F2"/>
          <w:sz w:val="28"/>
          <w:szCs w:val="28"/>
        </w:rPr>
        <w:t xml:space="preserve"> for </w:t>
      </w:r>
      <w:r w:rsidR="00E153E7" w:rsidRPr="002A6118">
        <w:rPr>
          <w:rFonts w:asciiTheme="minorHAnsi" w:hAnsiTheme="minorHAnsi"/>
          <w:b/>
          <w:color w:val="0D0D0D" w:themeColor="text1" w:themeTint="F2"/>
          <w:sz w:val="28"/>
          <w:szCs w:val="28"/>
        </w:rPr>
        <w:t>Collections</w:t>
      </w:r>
    </w:p>
    <w:p w:rsidR="00E10001" w:rsidRDefault="002A6118" w:rsidP="00293D05">
      <w:p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This </w:t>
      </w:r>
      <w:r w:rsidR="005615AA">
        <w:rPr>
          <w:rFonts w:asciiTheme="minorHAnsi" w:hAnsiTheme="minorHAnsi"/>
          <w:color w:val="0D0D0D" w:themeColor="text1" w:themeTint="F2"/>
          <w:sz w:val="24"/>
          <w:szCs w:val="24"/>
        </w:rPr>
        <w:t>section</w:t>
      </w:r>
      <w:r w:rsidRPr="002A6118">
        <w:rPr>
          <w:rFonts w:asciiTheme="minorHAnsi" w:hAnsiTheme="minorHAnsi"/>
          <w:color w:val="0D0D0D" w:themeColor="text1" w:themeTint="F2"/>
          <w:sz w:val="24"/>
          <w:szCs w:val="24"/>
        </w:rPr>
        <w:t xml:space="preserve"> outlines general collections activities required from Service Transfer through referring a file to a Foreclosure Attorney.  Each Collection Activity illustrated below is required by RESPA, FDCPA, CFPB, and\or State regulatory agencies.   Copies of all letters must be kept by the Servicer so they can be referenced during a regulatory review, responding to RESPA complaints, or defending a Civil Law Suit.  The Servicer must a</w:t>
      </w:r>
      <w:r w:rsidR="005B33B4">
        <w:rPr>
          <w:rFonts w:asciiTheme="minorHAnsi" w:hAnsiTheme="minorHAnsi"/>
          <w:color w:val="0D0D0D" w:themeColor="text1" w:themeTint="F2"/>
          <w:sz w:val="24"/>
          <w:szCs w:val="24"/>
        </w:rPr>
        <w:t>lso demonstrate that Collection</w:t>
      </w:r>
      <w:r w:rsidRPr="002A6118">
        <w:rPr>
          <w:rFonts w:asciiTheme="minorHAnsi" w:hAnsiTheme="minorHAnsi"/>
          <w:color w:val="0D0D0D" w:themeColor="text1" w:themeTint="F2"/>
          <w:sz w:val="24"/>
          <w:szCs w:val="24"/>
        </w:rPr>
        <w:t xml:space="preserve"> calls are consistently initiated only after 30 days from sending the FDCPA letter (ie. after the “First Collection Date”). </w:t>
      </w:r>
    </w:p>
    <w:p w:rsidR="002A6118" w:rsidRPr="002A6118" w:rsidRDefault="002A6118" w:rsidP="00293D05">
      <w:p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 </w:t>
      </w:r>
    </w:p>
    <w:p w:rsidR="002A6118" w:rsidRDefault="002A6118" w:rsidP="00293D05">
      <w:p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SNSC prepares all letters to conform to all of the variations of Federal, State, and regional requirements.  Any violation of the timelines or notification requirements may result in RESPA complaints or Civil Law Suits being filed by the borrower, resulting in potentially significant delays and expensive settlements.  Violations may also result in penalties or fines being levied against the Servicer and Investor during a standard regulatory audit.  It is important that all parties understand and work within these stated guidelines to assure there are no delays or unnecessary costs incurred</w:t>
      </w:r>
      <w:r w:rsidR="00E10001">
        <w:rPr>
          <w:rFonts w:asciiTheme="minorHAnsi" w:hAnsiTheme="minorHAnsi"/>
          <w:color w:val="0D0D0D" w:themeColor="text1" w:themeTint="F2"/>
          <w:sz w:val="24"/>
          <w:szCs w:val="24"/>
        </w:rPr>
        <w:t>.</w:t>
      </w:r>
    </w:p>
    <w:p w:rsidR="00E10001" w:rsidRPr="002A6118" w:rsidRDefault="00E10001" w:rsidP="00293D05">
      <w:pPr>
        <w:jc w:val="both"/>
        <w:rPr>
          <w:rFonts w:asciiTheme="minorHAnsi" w:hAnsiTheme="minorHAnsi"/>
          <w:color w:val="0D0D0D" w:themeColor="text1" w:themeTint="F2"/>
          <w:sz w:val="24"/>
          <w:szCs w:val="24"/>
        </w:rPr>
      </w:pPr>
    </w:p>
    <w:p w:rsidR="002A6118" w:rsidRPr="002A6118" w:rsidRDefault="002A6118" w:rsidP="00293D05">
      <w:p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Also outlined in this document are potential reasons for delays within these timelines.  Furthermore, recommendations are provided to minimize any delays in the collections process when performing a Service Transfer.  For more detailed descriptions of timelines and requirements, please refer to the Investor Handbook.  </w:t>
      </w:r>
    </w:p>
    <w:p w:rsidR="00A010A9" w:rsidRDefault="00A010A9">
      <w:pPr>
        <w:spacing w:after="200" w:line="276" w:lineRule="auto"/>
        <w:rPr>
          <w:rFonts w:asciiTheme="minorHAnsi" w:hAnsiTheme="minorHAnsi"/>
          <w:b/>
          <w:color w:val="0D0D0D" w:themeColor="text1" w:themeTint="F2"/>
          <w:sz w:val="28"/>
          <w:szCs w:val="28"/>
        </w:rPr>
      </w:pPr>
      <w:r>
        <w:rPr>
          <w:rFonts w:asciiTheme="minorHAnsi" w:hAnsiTheme="minorHAnsi"/>
          <w:b/>
          <w:color w:val="0D0D0D" w:themeColor="text1" w:themeTint="F2"/>
          <w:sz w:val="28"/>
          <w:szCs w:val="28"/>
        </w:rPr>
        <w:br w:type="page"/>
      </w:r>
    </w:p>
    <w:p w:rsidR="002A6118" w:rsidRPr="002A6118" w:rsidRDefault="002A6118" w:rsidP="002A6118">
      <w:pPr>
        <w:rPr>
          <w:rFonts w:asciiTheme="minorHAnsi" w:hAnsiTheme="minorHAnsi"/>
          <w:b/>
          <w:color w:val="0D0D0D" w:themeColor="text1" w:themeTint="F2"/>
          <w:sz w:val="28"/>
          <w:szCs w:val="28"/>
        </w:rPr>
      </w:pPr>
      <w:r w:rsidRPr="002A6118">
        <w:rPr>
          <w:rFonts w:asciiTheme="minorHAnsi" w:hAnsiTheme="minorHAnsi"/>
          <w:b/>
          <w:color w:val="0D0D0D" w:themeColor="text1" w:themeTint="F2"/>
          <w:sz w:val="28"/>
          <w:szCs w:val="28"/>
        </w:rPr>
        <w:lastRenderedPageBreak/>
        <w:t>Minimum Collections Timeframes</w:t>
      </w:r>
    </w:p>
    <w:p w:rsidR="002A6118" w:rsidRPr="002A6118" w:rsidRDefault="002A6118" w:rsidP="002A6118">
      <w:pPr>
        <w:rPr>
          <w:rFonts w:asciiTheme="minorHAnsi" w:hAnsiTheme="minorHAnsi"/>
          <w:color w:val="0D0D0D" w:themeColor="text1" w:themeTint="F2"/>
          <w:sz w:val="24"/>
          <w:szCs w:val="24"/>
        </w:rPr>
      </w:pPr>
      <w:r w:rsidRPr="002A6118">
        <w:rPr>
          <w:rFonts w:asciiTheme="minorHAnsi" w:hAnsiTheme="minorHAnsi"/>
          <w:noProof/>
          <w:color w:val="0D0D0D" w:themeColor="text1" w:themeTint="F2"/>
          <w:sz w:val="24"/>
          <w:szCs w:val="24"/>
        </w:rPr>
        <w:drawing>
          <wp:inline distT="0" distB="0" distL="0" distR="0" wp14:anchorId="57332A6A" wp14:editId="60EF06D0">
            <wp:extent cx="5943600" cy="1872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872615"/>
                    </a:xfrm>
                    <a:prstGeom prst="rect">
                      <a:avLst/>
                    </a:prstGeom>
                  </pic:spPr>
                </pic:pic>
              </a:graphicData>
            </a:graphic>
          </wp:inline>
        </w:drawing>
      </w:r>
    </w:p>
    <w:p w:rsidR="002A6118" w:rsidRPr="002A6118" w:rsidRDefault="004D093D" w:rsidP="00293D05">
      <w:pPr>
        <w:jc w:val="both"/>
        <w:rPr>
          <w:rFonts w:asciiTheme="minorHAnsi" w:hAnsiTheme="minorHAnsi"/>
          <w:color w:val="0D0D0D" w:themeColor="text1" w:themeTint="F2"/>
          <w:sz w:val="24"/>
          <w:szCs w:val="24"/>
        </w:rPr>
      </w:pPr>
      <w:r>
        <w:rPr>
          <w:rFonts w:asciiTheme="minorHAnsi" w:hAnsiTheme="minorHAnsi"/>
          <w:color w:val="0D0D0D" w:themeColor="text1" w:themeTint="F2"/>
          <w:sz w:val="24"/>
          <w:szCs w:val="24"/>
        </w:rPr>
        <w:t>Residential</w:t>
      </w:r>
      <w:r w:rsidR="002A6118" w:rsidRPr="002A6118">
        <w:rPr>
          <w:rFonts w:asciiTheme="minorHAnsi" w:hAnsiTheme="minorHAnsi"/>
          <w:color w:val="0D0D0D" w:themeColor="text1" w:themeTint="F2"/>
          <w:sz w:val="24"/>
          <w:szCs w:val="24"/>
        </w:rPr>
        <w:t xml:space="preserve"> mortgage loans generally require the following notifications to the borrowers within the timeframes described</w:t>
      </w:r>
      <w:r w:rsidR="005D0968">
        <w:rPr>
          <w:rFonts w:asciiTheme="minorHAnsi" w:hAnsiTheme="minorHAnsi"/>
          <w:color w:val="0D0D0D" w:themeColor="text1" w:themeTint="F2"/>
          <w:sz w:val="24"/>
          <w:szCs w:val="24"/>
        </w:rPr>
        <w:t xml:space="preserve">.  Contract for </w:t>
      </w:r>
      <w:r w:rsidR="002A6118" w:rsidRPr="002A6118">
        <w:rPr>
          <w:rFonts w:asciiTheme="minorHAnsi" w:hAnsiTheme="minorHAnsi"/>
          <w:color w:val="0D0D0D" w:themeColor="text1" w:themeTint="F2"/>
          <w:sz w:val="24"/>
          <w:szCs w:val="24"/>
        </w:rPr>
        <w:t>Deed (CFD) and other special loan agreements do not always follow the same requirements, are State-specific, and may depend upon the terms of the Note.    SNSC will consult a local attorney to discuss the local requirements for special loan agreements if expediting timelines is desired.</w:t>
      </w:r>
    </w:p>
    <w:p w:rsidR="00E10001" w:rsidRPr="007D7072"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Goodbye Letter</w:t>
      </w:r>
      <w:r w:rsidRPr="002A6118">
        <w:rPr>
          <w:rFonts w:asciiTheme="minorHAnsi" w:hAnsiTheme="minorHAnsi"/>
          <w:color w:val="0D0D0D" w:themeColor="text1" w:themeTint="F2"/>
          <w:sz w:val="24"/>
          <w:szCs w:val="24"/>
        </w:rPr>
        <w:t xml:space="preserve"> – must be sent at least 15 days prior to the Service Transfer to SNSC</w:t>
      </w:r>
      <w:r w:rsidR="00E10001">
        <w:rPr>
          <w:rFonts w:asciiTheme="minorHAnsi" w:hAnsiTheme="minorHAnsi"/>
          <w:color w:val="0D0D0D" w:themeColor="text1" w:themeTint="F2"/>
          <w:sz w:val="24"/>
          <w:szCs w:val="24"/>
        </w:rPr>
        <w:t xml:space="preserve"> or by SNSC when loans transfer </w:t>
      </w:r>
      <w:r w:rsidR="005D5ACE">
        <w:rPr>
          <w:rFonts w:asciiTheme="minorHAnsi" w:hAnsiTheme="minorHAnsi"/>
          <w:color w:val="0D0D0D" w:themeColor="text1" w:themeTint="F2"/>
          <w:sz w:val="24"/>
          <w:szCs w:val="24"/>
        </w:rPr>
        <w:t>to another servicer</w:t>
      </w:r>
      <w:r w:rsidR="00E10001">
        <w:rPr>
          <w:rFonts w:asciiTheme="minorHAnsi" w:hAnsiTheme="minorHAnsi"/>
          <w:color w:val="0D0D0D" w:themeColor="text1" w:themeTint="F2"/>
          <w:sz w:val="24"/>
          <w:szCs w:val="24"/>
        </w:rPr>
        <w:t>.</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Hello Letter</w:t>
      </w:r>
      <w:r w:rsidRPr="002A6118">
        <w:rPr>
          <w:rFonts w:asciiTheme="minorHAnsi" w:hAnsiTheme="minorHAnsi"/>
          <w:color w:val="0D0D0D" w:themeColor="text1" w:themeTint="F2"/>
          <w:sz w:val="24"/>
          <w:szCs w:val="24"/>
        </w:rPr>
        <w:t xml:space="preserve"> (“RESPA” Letter) –sent 1</w:t>
      </w:r>
      <w:r w:rsidR="00E91A25">
        <w:rPr>
          <w:rFonts w:asciiTheme="minorHAnsi" w:hAnsiTheme="minorHAnsi"/>
          <w:color w:val="0D0D0D" w:themeColor="text1" w:themeTint="F2"/>
          <w:sz w:val="24"/>
          <w:szCs w:val="24"/>
        </w:rPr>
        <w:t>-</w:t>
      </w:r>
      <w:r w:rsidRPr="002A6118">
        <w:rPr>
          <w:rFonts w:asciiTheme="minorHAnsi" w:hAnsiTheme="minorHAnsi"/>
          <w:color w:val="0D0D0D" w:themeColor="text1" w:themeTint="F2"/>
          <w:sz w:val="24"/>
          <w:szCs w:val="24"/>
        </w:rPr>
        <w:t xml:space="preserve">15 days after Servicer Transfer, </w:t>
      </w:r>
      <w:r w:rsidR="007D7072">
        <w:rPr>
          <w:rFonts w:asciiTheme="minorHAnsi" w:hAnsiTheme="minorHAnsi"/>
          <w:color w:val="0D0D0D" w:themeColor="text1" w:themeTint="F2"/>
          <w:sz w:val="24"/>
          <w:szCs w:val="24"/>
        </w:rPr>
        <w:t>but</w:t>
      </w:r>
      <w:r w:rsidRPr="002A6118">
        <w:rPr>
          <w:rFonts w:asciiTheme="minorHAnsi" w:hAnsiTheme="minorHAnsi"/>
          <w:color w:val="0D0D0D" w:themeColor="text1" w:themeTint="F2"/>
          <w:sz w:val="24"/>
          <w:szCs w:val="24"/>
        </w:rPr>
        <w:t xml:space="preserve"> must be sent within 15 days after transfer.  </w:t>
      </w:r>
    </w:p>
    <w:p w:rsidR="00587911" w:rsidRDefault="00587911"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Loan Information should be available</w:t>
      </w:r>
      <w:r>
        <w:rPr>
          <w:rFonts w:asciiTheme="minorHAnsi" w:hAnsiTheme="minorHAnsi"/>
          <w:color w:val="0D0D0D" w:themeColor="text1" w:themeTint="F2"/>
          <w:sz w:val="24"/>
          <w:szCs w:val="24"/>
        </w:rPr>
        <w:t xml:space="preserve"> in your </w:t>
      </w:r>
      <w:r w:rsidR="00AB5E8C">
        <w:rPr>
          <w:rFonts w:asciiTheme="minorHAnsi" w:hAnsiTheme="minorHAnsi"/>
          <w:color w:val="0D0D0D" w:themeColor="text1" w:themeTint="F2"/>
          <w:sz w:val="24"/>
          <w:szCs w:val="24"/>
        </w:rPr>
        <w:t>Investor</w:t>
      </w:r>
      <w:r>
        <w:rPr>
          <w:rFonts w:asciiTheme="minorHAnsi" w:hAnsiTheme="minorHAnsi"/>
          <w:color w:val="0D0D0D" w:themeColor="text1" w:themeTint="F2"/>
          <w:sz w:val="24"/>
          <w:szCs w:val="24"/>
        </w:rPr>
        <w:t xml:space="preserve"> portal</w:t>
      </w:r>
      <w:r w:rsidRPr="002A6118">
        <w:rPr>
          <w:rFonts w:asciiTheme="minorHAnsi" w:hAnsiTheme="minorHAnsi"/>
          <w:color w:val="0D0D0D" w:themeColor="text1" w:themeTint="F2"/>
          <w:sz w:val="24"/>
          <w:szCs w:val="24"/>
        </w:rPr>
        <w:t xml:space="preserve"> 1 day after Loan Boarding.</w:t>
      </w:r>
    </w:p>
    <w:p w:rsidR="002A6118" w:rsidRPr="00587911" w:rsidRDefault="002A6118" w:rsidP="00635596">
      <w:pPr>
        <w:pStyle w:val="ListParagraph"/>
        <w:ind w:left="1440"/>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  </w:t>
      </w:r>
      <w:r w:rsidRPr="00587911">
        <w:rPr>
          <w:rFonts w:asciiTheme="minorHAnsi" w:hAnsiTheme="minorHAnsi"/>
          <w:color w:val="0D0D0D" w:themeColor="text1" w:themeTint="F2"/>
          <w:sz w:val="24"/>
          <w:szCs w:val="24"/>
        </w:rPr>
        <w:t xml:space="preserve">  </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FDCPA Letter</w:t>
      </w:r>
      <w:r w:rsidRPr="002A6118">
        <w:rPr>
          <w:rFonts w:asciiTheme="minorHAnsi" w:hAnsiTheme="minorHAnsi"/>
          <w:color w:val="0D0D0D" w:themeColor="text1" w:themeTint="F2"/>
          <w:sz w:val="24"/>
          <w:szCs w:val="24"/>
        </w:rPr>
        <w:t xml:space="preserve"> - can be sent </w:t>
      </w:r>
      <w:r w:rsidR="00587911">
        <w:rPr>
          <w:rFonts w:asciiTheme="minorHAnsi" w:hAnsiTheme="minorHAnsi"/>
          <w:color w:val="0D0D0D" w:themeColor="text1" w:themeTint="F2"/>
          <w:sz w:val="24"/>
          <w:szCs w:val="24"/>
        </w:rPr>
        <w:t>once funds are received from the prior servicer,</w:t>
      </w:r>
      <w:r w:rsidRPr="002A6118">
        <w:rPr>
          <w:rFonts w:asciiTheme="minorHAnsi" w:hAnsiTheme="minorHAnsi"/>
          <w:color w:val="0D0D0D" w:themeColor="text1" w:themeTint="F2"/>
          <w:sz w:val="24"/>
          <w:szCs w:val="24"/>
        </w:rPr>
        <w:t xml:space="preserve"> balances have been bu</w:t>
      </w:r>
      <w:r w:rsidR="00955541">
        <w:rPr>
          <w:rFonts w:asciiTheme="minorHAnsi" w:hAnsiTheme="minorHAnsi"/>
          <w:color w:val="0D0D0D" w:themeColor="text1" w:themeTint="F2"/>
          <w:sz w:val="24"/>
          <w:szCs w:val="24"/>
        </w:rPr>
        <w:t>ilt and reconciled on the SNSC</w:t>
      </w:r>
      <w:r w:rsidRPr="002A6118">
        <w:rPr>
          <w:rFonts w:asciiTheme="minorHAnsi" w:hAnsiTheme="minorHAnsi"/>
          <w:color w:val="0D0D0D" w:themeColor="text1" w:themeTint="F2"/>
          <w:sz w:val="24"/>
          <w:szCs w:val="24"/>
        </w:rPr>
        <w:t xml:space="preserve"> system.</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SN</w:t>
      </w:r>
      <w:r w:rsidR="008C1B44">
        <w:rPr>
          <w:rFonts w:asciiTheme="minorHAnsi" w:hAnsiTheme="minorHAnsi"/>
          <w:color w:val="0D0D0D" w:themeColor="text1" w:themeTint="F2"/>
          <w:sz w:val="24"/>
          <w:szCs w:val="24"/>
        </w:rPr>
        <w:t>SC</w:t>
      </w:r>
      <w:r w:rsidRPr="002A6118">
        <w:rPr>
          <w:rFonts w:asciiTheme="minorHAnsi" w:hAnsiTheme="minorHAnsi"/>
          <w:color w:val="0D0D0D" w:themeColor="text1" w:themeTint="F2"/>
          <w:sz w:val="24"/>
          <w:szCs w:val="24"/>
        </w:rPr>
        <w:t xml:space="preserve"> considers the date the FDCPA Letter is sent to be the “Initial Contact Date”.  </w:t>
      </w:r>
    </w:p>
    <w:p w:rsidR="002A6118" w:rsidRPr="002A6118" w:rsidRDefault="00BA58EB" w:rsidP="00293D05">
      <w:pPr>
        <w:pStyle w:val="ListParagraph"/>
        <w:numPr>
          <w:ilvl w:val="1"/>
          <w:numId w:val="1"/>
        </w:numPr>
        <w:jc w:val="both"/>
        <w:rPr>
          <w:rFonts w:asciiTheme="minorHAnsi" w:hAnsiTheme="minorHAnsi"/>
          <w:color w:val="0D0D0D" w:themeColor="text1" w:themeTint="F2"/>
          <w:sz w:val="24"/>
          <w:szCs w:val="24"/>
        </w:rPr>
      </w:pPr>
      <w:r>
        <w:rPr>
          <w:rFonts w:asciiTheme="minorHAnsi" w:hAnsiTheme="minorHAnsi"/>
          <w:color w:val="0D0D0D" w:themeColor="text1" w:themeTint="F2"/>
          <w:sz w:val="24"/>
          <w:szCs w:val="24"/>
        </w:rPr>
        <w:t xml:space="preserve">Typically sent within 5 business days after Hello Letter is sent.  </w:t>
      </w:r>
      <w:r w:rsidR="00587911">
        <w:rPr>
          <w:rFonts w:asciiTheme="minorHAnsi" w:hAnsiTheme="minorHAnsi"/>
          <w:color w:val="0D0D0D" w:themeColor="text1" w:themeTint="F2"/>
          <w:sz w:val="24"/>
          <w:szCs w:val="24"/>
        </w:rPr>
        <w:t>Must be</w:t>
      </w:r>
      <w:r w:rsidR="002A6118" w:rsidRPr="002A6118">
        <w:rPr>
          <w:rFonts w:asciiTheme="minorHAnsi" w:hAnsiTheme="minorHAnsi"/>
          <w:color w:val="0D0D0D" w:themeColor="text1" w:themeTint="F2"/>
          <w:sz w:val="24"/>
          <w:szCs w:val="24"/>
        </w:rPr>
        <w:t xml:space="preserve"> sent </w:t>
      </w:r>
      <w:r w:rsidR="00587911">
        <w:rPr>
          <w:rFonts w:asciiTheme="minorHAnsi" w:hAnsiTheme="minorHAnsi"/>
          <w:color w:val="0D0D0D" w:themeColor="text1" w:themeTint="F2"/>
          <w:sz w:val="24"/>
          <w:szCs w:val="24"/>
        </w:rPr>
        <w:t>no more than 30</w:t>
      </w:r>
      <w:r w:rsidR="002A6118" w:rsidRPr="002A6118">
        <w:rPr>
          <w:rFonts w:asciiTheme="minorHAnsi" w:hAnsiTheme="minorHAnsi"/>
          <w:color w:val="0D0D0D" w:themeColor="text1" w:themeTint="F2"/>
          <w:sz w:val="24"/>
          <w:szCs w:val="24"/>
        </w:rPr>
        <w:t xml:space="preserve"> business days after transfer, once the “ISNP code” is lifted (designating that Interim Servicing and reconciliation are posted</w:t>
      </w:r>
      <w:r w:rsidR="00587911">
        <w:rPr>
          <w:rFonts w:asciiTheme="minorHAnsi" w:hAnsiTheme="minorHAnsi"/>
          <w:color w:val="0D0D0D" w:themeColor="text1" w:themeTint="F2"/>
          <w:sz w:val="24"/>
          <w:szCs w:val="24"/>
        </w:rPr>
        <w:t>)</w:t>
      </w:r>
      <w:r>
        <w:rPr>
          <w:rFonts w:asciiTheme="minorHAnsi" w:hAnsiTheme="minorHAnsi"/>
          <w:color w:val="0D0D0D" w:themeColor="text1" w:themeTint="F2"/>
          <w:sz w:val="24"/>
          <w:szCs w:val="24"/>
        </w:rPr>
        <w:t xml:space="preserve"> and SNSC has received releasing servicer’s Last Billing Statement to include with letter mailing</w:t>
      </w:r>
      <w:r w:rsidR="00587911">
        <w:rPr>
          <w:rFonts w:asciiTheme="minorHAnsi" w:hAnsiTheme="minorHAnsi"/>
          <w:color w:val="0D0D0D" w:themeColor="text1" w:themeTint="F2"/>
          <w:sz w:val="24"/>
          <w:szCs w:val="24"/>
        </w:rPr>
        <w:t>.</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The letter must be sent prior to making any calls to the borrower, as it establishes an accurate accounting of the debt owed</w:t>
      </w:r>
      <w:r w:rsidR="00587911">
        <w:rPr>
          <w:rFonts w:asciiTheme="minorHAnsi" w:hAnsiTheme="minorHAnsi"/>
          <w:color w:val="0D0D0D" w:themeColor="text1" w:themeTint="F2"/>
          <w:sz w:val="24"/>
          <w:szCs w:val="24"/>
        </w:rPr>
        <w:t>.</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Delays sending this letter can occur depending upon the completeness and accuracy of the prior servicer’s information and timely remittance of funds due</w:t>
      </w:r>
      <w:r w:rsidR="00587911">
        <w:rPr>
          <w:rFonts w:asciiTheme="minorHAnsi" w:hAnsiTheme="minorHAnsi"/>
          <w:color w:val="0D0D0D" w:themeColor="text1" w:themeTint="F2"/>
          <w:sz w:val="24"/>
          <w:szCs w:val="24"/>
        </w:rPr>
        <w:t xml:space="preserve"> on the loan(s), whether Escrow Impounds, Loss Draft or Unapplied money.</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The borrower has 30 days to dispute the debt</w:t>
      </w:r>
      <w:r w:rsidR="00157E2D">
        <w:rPr>
          <w:rFonts w:asciiTheme="minorHAnsi" w:hAnsiTheme="minorHAnsi"/>
          <w:color w:val="0D0D0D" w:themeColor="text1" w:themeTint="F2"/>
          <w:sz w:val="24"/>
          <w:szCs w:val="24"/>
        </w:rPr>
        <w:t>, by sending a Qualified Written Request,</w:t>
      </w:r>
      <w:r w:rsidRPr="002A6118">
        <w:rPr>
          <w:rFonts w:asciiTheme="minorHAnsi" w:hAnsiTheme="minorHAnsi"/>
          <w:color w:val="0D0D0D" w:themeColor="text1" w:themeTint="F2"/>
          <w:sz w:val="24"/>
          <w:szCs w:val="24"/>
        </w:rPr>
        <w:t xml:space="preserve"> before any collections activity can be started.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This letter cannot be sent to loans that have exceeded the Statute of Limitations, current BK, or BK release.  </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Welcome Calls</w:t>
      </w:r>
      <w:r w:rsidRPr="002A6118">
        <w:rPr>
          <w:rFonts w:asciiTheme="minorHAnsi" w:hAnsiTheme="minorHAnsi"/>
          <w:color w:val="0D0D0D" w:themeColor="text1" w:themeTint="F2"/>
          <w:sz w:val="24"/>
          <w:szCs w:val="24"/>
        </w:rPr>
        <w:t xml:space="preserve"> - are started 5 days after the </w:t>
      </w:r>
      <w:r w:rsidR="002D4B64">
        <w:rPr>
          <w:rFonts w:asciiTheme="minorHAnsi" w:hAnsiTheme="minorHAnsi"/>
          <w:color w:val="0D0D0D" w:themeColor="text1" w:themeTint="F2"/>
          <w:sz w:val="24"/>
          <w:szCs w:val="24"/>
        </w:rPr>
        <w:t>RES</w:t>
      </w:r>
      <w:r w:rsidRPr="002A6118">
        <w:rPr>
          <w:rFonts w:asciiTheme="minorHAnsi" w:hAnsiTheme="minorHAnsi"/>
          <w:color w:val="0D0D0D" w:themeColor="text1" w:themeTint="F2"/>
          <w:sz w:val="24"/>
          <w:szCs w:val="24"/>
        </w:rPr>
        <w:t xml:space="preserve">PA Letter is sent allowing enough time for the postal service to have delivered the letter.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Welcome calls will be made to inform the borrower </w:t>
      </w:r>
      <w:r w:rsidR="00253B7A">
        <w:rPr>
          <w:rFonts w:asciiTheme="minorHAnsi" w:hAnsiTheme="minorHAnsi"/>
          <w:color w:val="0D0D0D" w:themeColor="text1" w:themeTint="F2"/>
          <w:sz w:val="24"/>
          <w:szCs w:val="24"/>
        </w:rPr>
        <w:t>of the new servicer and</w:t>
      </w:r>
      <w:r w:rsidRPr="002A6118">
        <w:rPr>
          <w:rFonts w:asciiTheme="minorHAnsi" w:hAnsiTheme="minorHAnsi"/>
          <w:color w:val="0D0D0D" w:themeColor="text1" w:themeTint="F2"/>
          <w:sz w:val="24"/>
          <w:szCs w:val="24"/>
        </w:rPr>
        <w:t xml:space="preserve"> answer questions.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lastRenderedPageBreak/>
        <w:t xml:space="preserve">No “Hard Collections” can be made at this time.  If the borrower asks to discuss Loss Mitigation options, it is permitted.  However, the Servicer cannot initiate such a discussion.  </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“First Collection Date”</w:t>
      </w:r>
      <w:r w:rsidRPr="002A6118">
        <w:rPr>
          <w:rFonts w:asciiTheme="minorHAnsi" w:hAnsiTheme="minorHAnsi"/>
          <w:color w:val="0D0D0D" w:themeColor="text1" w:themeTint="F2"/>
          <w:sz w:val="24"/>
          <w:szCs w:val="24"/>
        </w:rPr>
        <w:t xml:space="preserve"> – 30 days after the FDCPA letter is sent.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This is the first date that “Hard Collections Calls” can be made to the borrower to actively pursue Loss Mitigation opportunities.  Door knockers can be requested to be ordered at this time.  </w:t>
      </w:r>
    </w:p>
    <w:p w:rsid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Calls cannot be made for loans that have exceeded the Statute of Limitatio</w:t>
      </w:r>
      <w:r w:rsidR="00253B7A">
        <w:rPr>
          <w:rFonts w:asciiTheme="minorHAnsi" w:hAnsiTheme="minorHAnsi"/>
          <w:color w:val="0D0D0D" w:themeColor="text1" w:themeTint="F2"/>
          <w:sz w:val="24"/>
          <w:szCs w:val="24"/>
        </w:rPr>
        <w:t>ns, current BK, or BK release.</w:t>
      </w:r>
    </w:p>
    <w:p w:rsidR="00253B7A" w:rsidRPr="002A6118" w:rsidRDefault="00253B7A" w:rsidP="00293D05">
      <w:pPr>
        <w:pStyle w:val="ListParagraph"/>
        <w:numPr>
          <w:ilvl w:val="1"/>
          <w:numId w:val="1"/>
        </w:numPr>
        <w:jc w:val="both"/>
        <w:rPr>
          <w:rFonts w:asciiTheme="minorHAnsi" w:hAnsiTheme="minorHAnsi"/>
          <w:color w:val="0D0D0D" w:themeColor="text1" w:themeTint="F2"/>
          <w:sz w:val="24"/>
          <w:szCs w:val="24"/>
        </w:rPr>
      </w:pPr>
      <w:r>
        <w:rPr>
          <w:rFonts w:asciiTheme="minorHAnsi" w:hAnsiTheme="minorHAnsi"/>
          <w:color w:val="0D0D0D" w:themeColor="text1" w:themeTint="F2"/>
          <w:sz w:val="24"/>
          <w:szCs w:val="24"/>
        </w:rPr>
        <w:t>A</w:t>
      </w:r>
      <w:r w:rsidRPr="002A6118">
        <w:rPr>
          <w:rFonts w:asciiTheme="minorHAnsi" w:hAnsiTheme="minorHAnsi"/>
          <w:color w:val="0D0D0D" w:themeColor="text1" w:themeTint="F2"/>
          <w:sz w:val="24"/>
          <w:szCs w:val="24"/>
        </w:rPr>
        <w:t xml:space="preserve">mount owed </w:t>
      </w:r>
      <w:r>
        <w:rPr>
          <w:rFonts w:asciiTheme="minorHAnsi" w:hAnsiTheme="minorHAnsi"/>
          <w:color w:val="0D0D0D" w:themeColor="text1" w:themeTint="F2"/>
          <w:sz w:val="24"/>
          <w:szCs w:val="24"/>
        </w:rPr>
        <w:t xml:space="preserve">can be </w:t>
      </w:r>
      <w:r w:rsidR="00A82F22">
        <w:rPr>
          <w:rFonts w:asciiTheme="minorHAnsi" w:hAnsiTheme="minorHAnsi"/>
          <w:color w:val="0D0D0D" w:themeColor="text1" w:themeTint="F2"/>
          <w:sz w:val="24"/>
          <w:szCs w:val="24"/>
        </w:rPr>
        <w:t xml:space="preserve">discussed and </w:t>
      </w:r>
      <w:r>
        <w:rPr>
          <w:rFonts w:asciiTheme="minorHAnsi" w:hAnsiTheme="minorHAnsi"/>
          <w:color w:val="0D0D0D" w:themeColor="text1" w:themeTint="F2"/>
          <w:sz w:val="24"/>
          <w:szCs w:val="24"/>
        </w:rPr>
        <w:t>confirmed on this call.</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Early Intervention\45-day letter</w:t>
      </w:r>
      <w:r w:rsidRPr="002A6118">
        <w:rPr>
          <w:rFonts w:asciiTheme="minorHAnsi" w:hAnsiTheme="minorHAnsi"/>
          <w:color w:val="0D0D0D" w:themeColor="text1" w:themeTint="F2"/>
          <w:sz w:val="24"/>
          <w:szCs w:val="24"/>
        </w:rPr>
        <w:t xml:space="preserve"> - can be sent 30 days after the FDCPA letter has been sent.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The Borrower must be contractually delinquent for more than 45 days.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USDA, VA, and FHA loans have even earlier intervention requirements (calls and notices).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This letter only needs to be sent one time within a 180 day period.  If a copy of the prior servicer’s letter is available, it will meet this requirement.  </w:t>
      </w:r>
    </w:p>
    <w:p w:rsidR="002A6118" w:rsidRPr="002A6118" w:rsidRDefault="002A6118" w:rsidP="00293D05">
      <w:pPr>
        <w:pStyle w:val="ListParagraph"/>
        <w:numPr>
          <w:ilvl w:val="0"/>
          <w:numId w:val="1"/>
        </w:numPr>
        <w:jc w:val="both"/>
        <w:rPr>
          <w:rFonts w:asciiTheme="minorHAnsi" w:hAnsiTheme="minorHAnsi"/>
          <w:color w:val="000000" w:themeColor="text1"/>
          <w:sz w:val="24"/>
          <w:szCs w:val="24"/>
        </w:rPr>
      </w:pPr>
      <w:r w:rsidRPr="002A6118">
        <w:rPr>
          <w:rFonts w:asciiTheme="minorHAnsi" w:hAnsiTheme="minorHAnsi"/>
          <w:b/>
          <w:color w:val="0D0D0D" w:themeColor="text1" w:themeTint="F2"/>
          <w:sz w:val="24"/>
          <w:szCs w:val="24"/>
          <w:u w:val="single"/>
        </w:rPr>
        <w:t>Pre-Demand letter</w:t>
      </w:r>
      <w:r w:rsidRPr="002A6118">
        <w:rPr>
          <w:rFonts w:asciiTheme="minorHAnsi" w:hAnsiTheme="minorHAnsi"/>
          <w:color w:val="0D0D0D" w:themeColor="text1" w:themeTint="F2"/>
          <w:sz w:val="24"/>
          <w:szCs w:val="24"/>
        </w:rPr>
        <w:t xml:space="preserve"> </w:t>
      </w:r>
      <w:r w:rsidR="00BF2983">
        <w:rPr>
          <w:rFonts w:asciiTheme="minorHAnsi" w:hAnsiTheme="minorHAnsi"/>
          <w:color w:val="0D0D0D" w:themeColor="text1" w:themeTint="F2"/>
          <w:sz w:val="24"/>
          <w:szCs w:val="24"/>
        </w:rPr>
        <w:t xml:space="preserve">- </w:t>
      </w:r>
      <w:r w:rsidRPr="002A6118">
        <w:rPr>
          <w:rFonts w:asciiTheme="minorHAnsi" w:hAnsiTheme="minorHAnsi"/>
          <w:color w:val="0D0D0D" w:themeColor="text1" w:themeTint="F2"/>
          <w:sz w:val="24"/>
          <w:szCs w:val="24"/>
        </w:rPr>
        <w:t xml:space="preserve">(ex. AZ, WA, CA) sent 15 days </w:t>
      </w:r>
      <w:r w:rsidRPr="002A6118">
        <w:rPr>
          <w:rFonts w:asciiTheme="minorHAnsi" w:hAnsiTheme="minorHAnsi"/>
          <w:color w:val="000000" w:themeColor="text1"/>
          <w:sz w:val="24"/>
          <w:szCs w:val="24"/>
        </w:rPr>
        <w:t xml:space="preserve">after the 45-day letter is sent.  </w:t>
      </w:r>
    </w:p>
    <w:p w:rsidR="005D5ACE" w:rsidRPr="00BF2983" w:rsidRDefault="002A6118" w:rsidP="00293D05">
      <w:pPr>
        <w:pStyle w:val="ListParagraph"/>
        <w:numPr>
          <w:ilvl w:val="1"/>
          <w:numId w:val="1"/>
        </w:numPr>
        <w:jc w:val="both"/>
        <w:rPr>
          <w:rFonts w:asciiTheme="minorHAnsi" w:hAnsiTheme="minorHAnsi"/>
          <w:color w:val="000000" w:themeColor="text1"/>
          <w:sz w:val="24"/>
          <w:szCs w:val="24"/>
        </w:rPr>
      </w:pPr>
      <w:r w:rsidRPr="002A6118">
        <w:rPr>
          <w:rFonts w:asciiTheme="minorHAnsi" w:hAnsiTheme="minorHAnsi"/>
          <w:color w:val="000000" w:themeColor="text1"/>
          <w:sz w:val="24"/>
          <w:szCs w:val="24"/>
        </w:rPr>
        <w:t>This can be sent as early as 30 days from the FDCPA letter.  However, there are very specific requirements that likely will create a delay</w:t>
      </w:r>
      <w:r w:rsidR="005D5ACE">
        <w:rPr>
          <w:rFonts w:asciiTheme="minorHAnsi" w:hAnsiTheme="minorHAnsi"/>
          <w:color w:val="000000" w:themeColor="text1"/>
          <w:sz w:val="24"/>
          <w:szCs w:val="24"/>
        </w:rPr>
        <w:t xml:space="preserve"> from an expedited timeline.</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Demand Letter</w:t>
      </w:r>
      <w:r w:rsidRPr="002A6118">
        <w:rPr>
          <w:rFonts w:asciiTheme="minorHAnsi" w:hAnsiTheme="minorHAnsi"/>
          <w:color w:val="0D0D0D" w:themeColor="text1" w:themeTint="F2"/>
          <w:sz w:val="24"/>
          <w:szCs w:val="24"/>
        </w:rPr>
        <w:t xml:space="preserve"> - sent 15 days* after the 45-day loss mitigation letter.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In most cases, the loan must be a minimum of 60 days delinquent.</w:t>
      </w:r>
    </w:p>
    <w:p w:rsidR="002A6118" w:rsidRPr="002A6118" w:rsidRDefault="002A6118" w:rsidP="00293D05">
      <w:pPr>
        <w:pStyle w:val="ListParagraph"/>
        <w:numPr>
          <w:ilvl w:val="1"/>
          <w:numId w:val="1"/>
        </w:numPr>
        <w:jc w:val="both"/>
        <w:rPr>
          <w:rFonts w:asciiTheme="minorHAnsi" w:hAnsiTheme="minorHAnsi" w:cstheme="minorBidi"/>
          <w:color w:val="0D0D0D" w:themeColor="text1" w:themeTint="F2"/>
          <w:sz w:val="24"/>
          <w:szCs w:val="24"/>
        </w:rPr>
      </w:pPr>
      <w:r w:rsidRPr="002A6118">
        <w:rPr>
          <w:rFonts w:asciiTheme="minorHAnsi" w:hAnsiTheme="minorHAnsi" w:cstheme="minorBidi"/>
          <w:color w:val="0D0D0D" w:themeColor="text1" w:themeTint="F2"/>
          <w:sz w:val="24"/>
          <w:szCs w:val="24"/>
        </w:rPr>
        <w:t>*WA and CA require 30 days from the Pre-Demand Letter being sent.</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Requires a complete set of Assignment Chains and Collateral documents</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Must be sent by Attorney in some states (ex. AZ, SC, MI, TX, PA, WA, LA, ME).  Copies of letters must be provided to Servicer within 15 days of being sent.  </w:t>
      </w:r>
    </w:p>
    <w:p w:rsidR="002A6118" w:rsidRPr="002A6118" w:rsidRDefault="002A6118" w:rsidP="00293D05">
      <w:pPr>
        <w:pStyle w:val="ListParagraph"/>
        <w:numPr>
          <w:ilvl w:val="0"/>
          <w:numId w:val="1"/>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Refer to Attorney</w:t>
      </w:r>
      <w:r w:rsidRPr="002A6118">
        <w:rPr>
          <w:rFonts w:asciiTheme="minorHAnsi" w:hAnsiTheme="minorHAnsi"/>
          <w:color w:val="0D0D0D" w:themeColor="text1" w:themeTint="F2"/>
          <w:sz w:val="24"/>
          <w:szCs w:val="24"/>
        </w:rPr>
        <w:t xml:space="preserve"> – typically can be performed 30 days after the demand letter has been sent.  </w:t>
      </w:r>
    </w:p>
    <w:p w:rsidR="002A6118" w:rsidRP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In most cases, the loan must be a minimum of 90 days delinquent.</w:t>
      </w:r>
    </w:p>
    <w:p w:rsidR="002A6118" w:rsidRDefault="002A6118" w:rsidP="00293D05">
      <w:pPr>
        <w:pStyle w:val="ListParagraph"/>
        <w:numPr>
          <w:ilvl w:val="1"/>
          <w:numId w:val="1"/>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NY requires 90 days fro</w:t>
      </w:r>
      <w:r w:rsidR="00197DEB">
        <w:rPr>
          <w:rFonts w:asciiTheme="minorHAnsi" w:hAnsiTheme="minorHAnsi"/>
          <w:color w:val="0D0D0D" w:themeColor="text1" w:themeTint="F2"/>
          <w:sz w:val="24"/>
          <w:szCs w:val="24"/>
        </w:rPr>
        <w:t>m the Demand letter being sent.</w:t>
      </w:r>
    </w:p>
    <w:p w:rsidR="00197DEB" w:rsidRPr="002A6118" w:rsidRDefault="00197DEB" w:rsidP="00293D05">
      <w:pPr>
        <w:pStyle w:val="ListParagraph"/>
        <w:numPr>
          <w:ilvl w:val="1"/>
          <w:numId w:val="1"/>
        </w:numPr>
        <w:jc w:val="both"/>
        <w:rPr>
          <w:rFonts w:asciiTheme="minorHAnsi" w:hAnsiTheme="minorHAnsi"/>
          <w:color w:val="0D0D0D" w:themeColor="text1" w:themeTint="F2"/>
          <w:sz w:val="24"/>
          <w:szCs w:val="24"/>
        </w:rPr>
      </w:pPr>
      <w:r>
        <w:rPr>
          <w:rFonts w:asciiTheme="minorHAnsi" w:hAnsiTheme="minorHAnsi"/>
          <w:color w:val="0D0D0D" w:themeColor="text1" w:themeTint="F2"/>
          <w:sz w:val="24"/>
          <w:szCs w:val="24"/>
        </w:rPr>
        <w:t>Attorney may require a “Good Faith” deposit in order to proceed</w:t>
      </w:r>
    </w:p>
    <w:p w:rsidR="002A6118" w:rsidRPr="002A6118" w:rsidRDefault="002A6118" w:rsidP="00293D05">
      <w:pPr>
        <w:pStyle w:val="ListParagraph"/>
        <w:jc w:val="both"/>
        <w:rPr>
          <w:rFonts w:asciiTheme="minorHAnsi" w:hAnsiTheme="minorHAnsi"/>
          <w:color w:val="0D0D0D" w:themeColor="text1" w:themeTint="F2"/>
          <w:sz w:val="24"/>
          <w:szCs w:val="24"/>
        </w:rPr>
      </w:pPr>
    </w:p>
    <w:p w:rsidR="002A6118" w:rsidRPr="002A6118" w:rsidRDefault="002A6118" w:rsidP="00293D05">
      <w:pPr>
        <w:jc w:val="both"/>
        <w:rPr>
          <w:rFonts w:asciiTheme="minorHAnsi" w:hAnsiTheme="minorHAnsi"/>
          <w:b/>
          <w:color w:val="0D0D0D" w:themeColor="text1" w:themeTint="F2"/>
          <w:sz w:val="24"/>
          <w:szCs w:val="24"/>
        </w:rPr>
      </w:pPr>
      <w:r w:rsidRPr="002A6118">
        <w:rPr>
          <w:rFonts w:asciiTheme="minorHAnsi" w:hAnsiTheme="minorHAnsi"/>
          <w:b/>
          <w:color w:val="0D0D0D" w:themeColor="text1" w:themeTint="F2"/>
          <w:sz w:val="24"/>
          <w:szCs w:val="24"/>
        </w:rPr>
        <w:t>Possible Delays to the Standard Collections Timeline</w:t>
      </w:r>
    </w:p>
    <w:p w:rsidR="002A6118" w:rsidRPr="002A6118" w:rsidRDefault="002A6118" w:rsidP="00293D05">
      <w:p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The standard timeframes can be delayed for reasons such as:  </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Loss Mitigation Package\Application is requested</w:t>
      </w:r>
      <w:r w:rsidRPr="002A6118">
        <w:rPr>
          <w:rFonts w:asciiTheme="minorHAnsi" w:hAnsiTheme="minorHAnsi"/>
          <w:color w:val="0D0D0D" w:themeColor="text1" w:themeTint="F2"/>
          <w:sz w:val="24"/>
          <w:szCs w:val="24"/>
        </w:rPr>
        <w:t xml:space="preserve"> - can be requested by the borrower at any time during the Collections timeline.  </w:t>
      </w:r>
    </w:p>
    <w:p w:rsidR="002A6118" w:rsidRPr="002A6118" w:rsidRDefault="002A6118" w:rsidP="00293D05">
      <w:pPr>
        <w:pStyle w:val="ListParagraph"/>
        <w:numPr>
          <w:ilvl w:val="1"/>
          <w:numId w:val="2"/>
        </w:numPr>
        <w:jc w:val="both"/>
        <w:rPr>
          <w:rFonts w:asciiTheme="minorHAnsi" w:hAnsiTheme="minorHAnsi"/>
          <w:color w:val="000000" w:themeColor="text1"/>
          <w:sz w:val="24"/>
          <w:szCs w:val="24"/>
        </w:rPr>
      </w:pPr>
      <w:r w:rsidRPr="002A6118">
        <w:rPr>
          <w:rFonts w:asciiTheme="minorHAnsi" w:hAnsiTheme="minorHAnsi"/>
          <w:color w:val="000000" w:themeColor="text1"/>
          <w:sz w:val="24"/>
          <w:szCs w:val="24"/>
        </w:rPr>
        <w:t>When a Loss Mitigation is requested by the borrower, the Servicer must wait a reasonable timeframe to allow the borrower to respond.  SN</w:t>
      </w:r>
      <w:r w:rsidR="008C1B44">
        <w:rPr>
          <w:rFonts w:asciiTheme="minorHAnsi" w:hAnsiTheme="minorHAnsi"/>
          <w:color w:val="000000" w:themeColor="text1"/>
          <w:sz w:val="24"/>
          <w:szCs w:val="24"/>
        </w:rPr>
        <w:t>SC</w:t>
      </w:r>
      <w:r w:rsidRPr="002A6118">
        <w:rPr>
          <w:rFonts w:asciiTheme="minorHAnsi" w:hAnsiTheme="minorHAnsi"/>
          <w:color w:val="000000" w:themeColor="text1"/>
          <w:sz w:val="24"/>
          <w:szCs w:val="24"/>
        </w:rPr>
        <w:t xml:space="preserve">’s policy is to wait 30 days before any new “action” is taken.  </w:t>
      </w:r>
    </w:p>
    <w:p w:rsidR="002A6118" w:rsidRPr="002A6118" w:rsidRDefault="002A6118" w:rsidP="00293D05">
      <w:pPr>
        <w:pStyle w:val="ListParagraph"/>
        <w:numPr>
          <w:ilvl w:val="1"/>
          <w:numId w:val="2"/>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Investors must approve or deny a borrower’s Loss Mitigation application within 15 business days of the completed application being received.  </w:t>
      </w:r>
    </w:p>
    <w:p w:rsidR="002A6118" w:rsidRPr="002A6118" w:rsidRDefault="002A6118" w:rsidP="00293D05">
      <w:pPr>
        <w:pStyle w:val="ListParagraph"/>
        <w:numPr>
          <w:ilvl w:val="1"/>
          <w:numId w:val="2"/>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No further “action” can be taken for 15 days after a denial has been sent to the borrower following the receipt of a </w:t>
      </w:r>
      <w:r w:rsidRPr="002A6118">
        <w:rPr>
          <w:rFonts w:asciiTheme="minorHAnsi" w:hAnsiTheme="minorHAnsi"/>
          <w:b/>
          <w:i/>
          <w:color w:val="0D0D0D" w:themeColor="text1" w:themeTint="F2"/>
          <w:sz w:val="24"/>
          <w:szCs w:val="24"/>
        </w:rPr>
        <w:t>complete</w:t>
      </w:r>
      <w:r w:rsidRPr="002A6118">
        <w:rPr>
          <w:rFonts w:asciiTheme="minorHAnsi" w:hAnsiTheme="minorHAnsi"/>
          <w:color w:val="0D0D0D" w:themeColor="text1" w:themeTint="F2"/>
          <w:sz w:val="24"/>
          <w:szCs w:val="24"/>
        </w:rPr>
        <w:t xml:space="preserve"> loss mitigation package - allowing for the borrower’s appeal.</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lastRenderedPageBreak/>
        <w:t xml:space="preserve">Payments received </w:t>
      </w:r>
      <w:r w:rsidR="009D7686">
        <w:rPr>
          <w:rFonts w:asciiTheme="minorHAnsi" w:hAnsiTheme="minorHAnsi"/>
          <w:b/>
          <w:color w:val="0D0D0D" w:themeColor="text1" w:themeTint="F2"/>
          <w:sz w:val="24"/>
          <w:szCs w:val="24"/>
          <w:u w:val="single"/>
        </w:rPr>
        <w:t>from</w:t>
      </w:r>
      <w:r w:rsidRPr="002A6118">
        <w:rPr>
          <w:rFonts w:asciiTheme="minorHAnsi" w:hAnsiTheme="minorHAnsi"/>
          <w:b/>
          <w:color w:val="0D0D0D" w:themeColor="text1" w:themeTint="F2"/>
          <w:sz w:val="24"/>
          <w:szCs w:val="24"/>
          <w:u w:val="single"/>
        </w:rPr>
        <w:t xml:space="preserve"> the borrower</w:t>
      </w:r>
      <w:r w:rsidRPr="002A6118">
        <w:rPr>
          <w:rFonts w:asciiTheme="minorHAnsi" w:hAnsiTheme="minorHAnsi"/>
          <w:color w:val="0D0D0D" w:themeColor="text1" w:themeTint="F2"/>
          <w:sz w:val="24"/>
          <w:szCs w:val="24"/>
        </w:rPr>
        <w:t>.  When the Investor accepts the equivalent of a full payment from the borrower, it implies that the parties are working together on a resolution.  Further collections actions taken while accepting payments from the borrower can then be perceived as “Dual Tracking”, which is a heavily regulated activity and provides grounds for a borrower to raise a complaint or law suit.  SN</w:t>
      </w:r>
      <w:r w:rsidR="008C1B44">
        <w:rPr>
          <w:rFonts w:asciiTheme="minorHAnsi" w:hAnsiTheme="minorHAnsi"/>
          <w:color w:val="0D0D0D" w:themeColor="text1" w:themeTint="F2"/>
          <w:sz w:val="24"/>
          <w:szCs w:val="24"/>
        </w:rPr>
        <w:t>SC</w:t>
      </w:r>
      <w:r w:rsidRPr="002A6118">
        <w:rPr>
          <w:rFonts w:asciiTheme="minorHAnsi" w:hAnsiTheme="minorHAnsi"/>
          <w:color w:val="0D0D0D" w:themeColor="text1" w:themeTint="F2"/>
          <w:sz w:val="24"/>
          <w:szCs w:val="24"/>
        </w:rPr>
        <w:t xml:space="preserve">’s policy is to restart from the 45-day letter forward utilizing the last payment received date as the new “Delinquency Date” once the equivalent of one full payment has been received and accepted.  </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Missing or incomplete Assignments or Collateral documents</w:t>
      </w:r>
      <w:r w:rsidRPr="002A6118">
        <w:rPr>
          <w:rFonts w:asciiTheme="minorHAnsi" w:hAnsiTheme="minorHAnsi"/>
          <w:color w:val="0D0D0D" w:themeColor="text1" w:themeTint="F2"/>
          <w:sz w:val="24"/>
          <w:szCs w:val="24"/>
        </w:rPr>
        <w:t xml:space="preserve"> - complete Assignment Chains and Collateral documents must be provided </w:t>
      </w:r>
      <w:r w:rsidR="00110626">
        <w:rPr>
          <w:rFonts w:asciiTheme="minorHAnsi" w:hAnsiTheme="minorHAnsi"/>
          <w:color w:val="0D0D0D" w:themeColor="text1" w:themeTint="F2"/>
          <w:sz w:val="24"/>
          <w:szCs w:val="24"/>
        </w:rPr>
        <w:t xml:space="preserve">to SNSC </w:t>
      </w:r>
      <w:r w:rsidRPr="002A6118">
        <w:rPr>
          <w:rFonts w:asciiTheme="minorHAnsi" w:hAnsiTheme="minorHAnsi"/>
          <w:color w:val="0D0D0D" w:themeColor="text1" w:themeTint="F2"/>
          <w:sz w:val="24"/>
          <w:szCs w:val="24"/>
        </w:rPr>
        <w:t xml:space="preserve">prior to the demand letter being sent.  </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RESPA complaint</w:t>
      </w:r>
      <w:r w:rsidRPr="002A6118">
        <w:rPr>
          <w:rFonts w:asciiTheme="minorHAnsi" w:hAnsiTheme="minorHAnsi"/>
          <w:color w:val="0D0D0D" w:themeColor="text1" w:themeTint="F2"/>
          <w:sz w:val="24"/>
          <w:szCs w:val="24"/>
        </w:rPr>
        <w:t xml:space="preserve"> filed by the borrower - Servicer is required to respond completely within 30 days of the complaint.  All timelines are delayed until the response has been provided.</w:t>
      </w:r>
    </w:p>
    <w:p w:rsidR="002A6118" w:rsidRPr="002A6118" w:rsidRDefault="002A6118" w:rsidP="00293D05">
      <w:pPr>
        <w:pStyle w:val="ListParagraph"/>
        <w:numPr>
          <w:ilvl w:val="1"/>
          <w:numId w:val="2"/>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Please note, general requirements prohibit any contact with the borrower by any party other than the Named Servicer (SNSC).  Violations of this requirement can confuse the borrower and result in RESPA complaints or Civil Lawsuit against the Investor, Servicer, and\or party who initiated the contact whether or not such contact may be considered allowable.  </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Civil Law Suit</w:t>
      </w:r>
      <w:r w:rsidRPr="002A6118">
        <w:rPr>
          <w:rFonts w:asciiTheme="minorHAnsi" w:hAnsiTheme="minorHAnsi"/>
          <w:color w:val="0D0D0D" w:themeColor="text1" w:themeTint="F2"/>
          <w:sz w:val="24"/>
          <w:szCs w:val="24"/>
        </w:rPr>
        <w:t xml:space="preserve"> – Law Suits may be a result of a perceived violation of any of the timelines or requirements outlined above, or for any reason.  All Law Suits will delay the process</w:t>
      </w:r>
      <w:r w:rsidR="00B62375">
        <w:rPr>
          <w:rFonts w:asciiTheme="minorHAnsi" w:hAnsiTheme="minorHAnsi"/>
          <w:color w:val="0D0D0D" w:themeColor="text1" w:themeTint="F2"/>
          <w:sz w:val="24"/>
          <w:szCs w:val="24"/>
        </w:rPr>
        <w:t xml:space="preserve"> until they are resolved.  The I</w:t>
      </w:r>
      <w:r w:rsidRPr="002A6118">
        <w:rPr>
          <w:rFonts w:asciiTheme="minorHAnsi" w:hAnsiTheme="minorHAnsi"/>
          <w:color w:val="0D0D0D" w:themeColor="text1" w:themeTint="F2"/>
          <w:sz w:val="24"/>
          <w:szCs w:val="24"/>
        </w:rPr>
        <w:t xml:space="preserve">nvestor is responsible for all costs incurred by Investor and Servicer to defend the law suit.  </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Bankruptcy filing</w:t>
      </w:r>
      <w:r w:rsidRPr="002A6118">
        <w:rPr>
          <w:rFonts w:asciiTheme="minorHAnsi" w:hAnsiTheme="minorHAnsi"/>
          <w:color w:val="0D0D0D" w:themeColor="text1" w:themeTint="F2"/>
          <w:sz w:val="24"/>
          <w:szCs w:val="24"/>
        </w:rPr>
        <w:t xml:space="preserve"> – may delay the collections process until resolved.  </w:t>
      </w:r>
    </w:p>
    <w:p w:rsidR="002A6118" w:rsidRPr="002A6118" w:rsidRDefault="002A6118" w:rsidP="00293D05">
      <w:pPr>
        <w:pStyle w:val="ListParagraph"/>
        <w:numPr>
          <w:ilvl w:val="0"/>
          <w:numId w:val="2"/>
        </w:numPr>
        <w:jc w:val="both"/>
        <w:rPr>
          <w:rFonts w:asciiTheme="minorHAnsi" w:hAnsiTheme="minorHAnsi"/>
          <w:color w:val="0D0D0D" w:themeColor="text1" w:themeTint="F2"/>
          <w:sz w:val="24"/>
          <w:szCs w:val="24"/>
        </w:rPr>
      </w:pPr>
      <w:r w:rsidRPr="002A6118">
        <w:rPr>
          <w:rFonts w:asciiTheme="minorHAnsi" w:hAnsiTheme="minorHAnsi"/>
          <w:b/>
          <w:color w:val="0D0D0D" w:themeColor="text1" w:themeTint="F2"/>
          <w:sz w:val="24"/>
          <w:szCs w:val="24"/>
          <w:u w:val="single"/>
        </w:rPr>
        <w:t xml:space="preserve">Disputed Debt </w:t>
      </w:r>
      <w:r w:rsidR="00D14CE9">
        <w:rPr>
          <w:rFonts w:asciiTheme="minorHAnsi" w:hAnsiTheme="minorHAnsi"/>
          <w:color w:val="0D0D0D" w:themeColor="text1" w:themeTint="F2"/>
          <w:sz w:val="24"/>
          <w:szCs w:val="24"/>
        </w:rPr>
        <w:t>– i</w:t>
      </w:r>
      <w:r w:rsidRPr="002A6118">
        <w:rPr>
          <w:rFonts w:asciiTheme="minorHAnsi" w:hAnsiTheme="minorHAnsi"/>
          <w:color w:val="0D0D0D" w:themeColor="text1" w:themeTint="F2"/>
          <w:sz w:val="24"/>
          <w:szCs w:val="24"/>
        </w:rPr>
        <w:t>f the borrower disputes the debt within 30 days of transfer, the Servicer must cease all collections efforts until the debt is verified or judgment obtained.</w:t>
      </w:r>
    </w:p>
    <w:p w:rsidR="002A6118" w:rsidRPr="002A6118" w:rsidRDefault="002A6118" w:rsidP="00293D05">
      <w:pPr>
        <w:ind w:left="360"/>
        <w:jc w:val="both"/>
        <w:rPr>
          <w:rFonts w:asciiTheme="minorHAnsi" w:hAnsiTheme="minorHAnsi"/>
          <w:color w:val="0D0D0D" w:themeColor="text1" w:themeTint="F2"/>
          <w:sz w:val="24"/>
          <w:szCs w:val="24"/>
        </w:rPr>
      </w:pPr>
    </w:p>
    <w:p w:rsidR="002A6118" w:rsidRPr="002A6118" w:rsidRDefault="002A6118" w:rsidP="00293D05">
      <w:pPr>
        <w:ind w:left="360"/>
        <w:jc w:val="both"/>
        <w:rPr>
          <w:rFonts w:asciiTheme="minorHAnsi" w:hAnsiTheme="minorHAnsi"/>
          <w:b/>
          <w:color w:val="0D0D0D" w:themeColor="text1" w:themeTint="F2"/>
          <w:sz w:val="24"/>
          <w:szCs w:val="24"/>
        </w:rPr>
      </w:pPr>
      <w:r w:rsidRPr="002A6118">
        <w:rPr>
          <w:rFonts w:asciiTheme="minorHAnsi" w:hAnsiTheme="minorHAnsi"/>
          <w:b/>
          <w:color w:val="0D0D0D" w:themeColor="text1" w:themeTint="F2"/>
          <w:sz w:val="24"/>
          <w:szCs w:val="24"/>
        </w:rPr>
        <w:t>Recommendations to Prevent Delays During Service Transfer</w:t>
      </w:r>
    </w:p>
    <w:p w:rsidR="002A6118" w:rsidRPr="002A6118" w:rsidRDefault="002A6118" w:rsidP="00293D05">
      <w:pPr>
        <w:ind w:left="360"/>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The timelines presented can largely be picked up</w:t>
      </w:r>
      <w:r w:rsidR="00110626">
        <w:rPr>
          <w:rFonts w:asciiTheme="minorHAnsi" w:hAnsiTheme="minorHAnsi"/>
          <w:color w:val="0D0D0D" w:themeColor="text1" w:themeTint="F2"/>
          <w:sz w:val="24"/>
          <w:szCs w:val="24"/>
        </w:rPr>
        <w:t>,</w:t>
      </w:r>
      <w:r w:rsidRPr="002A6118">
        <w:rPr>
          <w:rFonts w:asciiTheme="minorHAnsi" w:hAnsiTheme="minorHAnsi"/>
          <w:color w:val="0D0D0D" w:themeColor="text1" w:themeTint="F2"/>
          <w:sz w:val="24"/>
          <w:szCs w:val="24"/>
        </w:rPr>
        <w:t xml:space="preserve"> where they were left off from the prior servicer</w:t>
      </w:r>
      <w:r w:rsidR="00110626">
        <w:rPr>
          <w:rFonts w:asciiTheme="minorHAnsi" w:hAnsiTheme="minorHAnsi"/>
          <w:color w:val="0D0D0D" w:themeColor="text1" w:themeTint="F2"/>
          <w:sz w:val="24"/>
          <w:szCs w:val="24"/>
        </w:rPr>
        <w:t>,</w:t>
      </w:r>
      <w:r w:rsidRPr="002A6118">
        <w:rPr>
          <w:rFonts w:asciiTheme="minorHAnsi" w:hAnsiTheme="minorHAnsi"/>
          <w:color w:val="0D0D0D" w:themeColor="text1" w:themeTint="F2"/>
          <w:sz w:val="24"/>
          <w:szCs w:val="24"/>
        </w:rPr>
        <w:t xml:space="preserve"> 30 days from sending the FDCPA Letter.  Some suggestions on how an </w:t>
      </w:r>
      <w:r w:rsidR="00AB5E8C">
        <w:rPr>
          <w:rFonts w:asciiTheme="minorHAnsi" w:hAnsiTheme="minorHAnsi"/>
          <w:color w:val="0D0D0D" w:themeColor="text1" w:themeTint="F2"/>
          <w:sz w:val="24"/>
          <w:szCs w:val="24"/>
        </w:rPr>
        <w:t>Investor</w:t>
      </w:r>
      <w:r w:rsidRPr="002A6118">
        <w:rPr>
          <w:rFonts w:asciiTheme="minorHAnsi" w:hAnsiTheme="minorHAnsi"/>
          <w:color w:val="0D0D0D" w:themeColor="text1" w:themeTint="F2"/>
          <w:sz w:val="24"/>
          <w:szCs w:val="24"/>
        </w:rPr>
        <w:t xml:space="preserve"> can assure collections efforts are not delayed when transferring to the new servicer can include:</w:t>
      </w:r>
    </w:p>
    <w:p w:rsidR="002A6118" w:rsidRPr="002A6118" w:rsidRDefault="002A6118" w:rsidP="00293D05">
      <w:pPr>
        <w:pStyle w:val="ListParagraph"/>
        <w:numPr>
          <w:ilvl w:val="0"/>
          <w:numId w:val="3"/>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 xml:space="preserve">Request prior servicer to send the next appropriate notification to the borrower prior to the transfer.  Request a copy of the notification and make sure it is provided to the new servicer as part of the transfer.  Collections Activity can resume with the new servicer after the First Collection Date with proper documentation in place, no payments being received within the past 30 days, and no exceptions being noted on the account.  </w:t>
      </w:r>
    </w:p>
    <w:p w:rsidR="002A6118" w:rsidRPr="002A6118" w:rsidRDefault="002A6118" w:rsidP="00293D05">
      <w:pPr>
        <w:pStyle w:val="ListParagraph"/>
        <w:numPr>
          <w:ilvl w:val="0"/>
          <w:numId w:val="3"/>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If appropriate, request that the Loss Mitigation package be sent to the borrower prior to the transfer to assure that this will not disrupt timelines when Collections efforts can resume at the new Servicer.</w:t>
      </w:r>
    </w:p>
    <w:p w:rsidR="002A6118" w:rsidRDefault="002A6118" w:rsidP="00293D05">
      <w:pPr>
        <w:pStyle w:val="ListParagraph"/>
        <w:numPr>
          <w:ilvl w:val="0"/>
          <w:numId w:val="3"/>
        </w:numPr>
        <w:jc w:val="both"/>
        <w:rPr>
          <w:rFonts w:asciiTheme="minorHAnsi" w:hAnsiTheme="minorHAnsi"/>
          <w:color w:val="0D0D0D" w:themeColor="text1" w:themeTint="F2"/>
          <w:sz w:val="24"/>
          <w:szCs w:val="24"/>
        </w:rPr>
      </w:pPr>
      <w:r w:rsidRPr="002A6118">
        <w:rPr>
          <w:rFonts w:asciiTheme="minorHAnsi" w:hAnsiTheme="minorHAnsi"/>
          <w:color w:val="0D0D0D" w:themeColor="text1" w:themeTint="F2"/>
          <w:sz w:val="24"/>
          <w:szCs w:val="24"/>
        </w:rPr>
        <w:t>Respond to transfer requests as quickly as possible to assure data is provided timely, accurately, and completely.</w:t>
      </w:r>
    </w:p>
    <w:p w:rsidR="002D5BE0" w:rsidRDefault="002D5BE0">
      <w:pPr>
        <w:spacing w:after="200" w:line="276" w:lineRule="auto"/>
        <w:rPr>
          <w:rFonts w:asciiTheme="minorHAnsi" w:hAnsiTheme="minorHAnsi" w:cs="Times-Bold"/>
          <w:bCs/>
          <w:sz w:val="24"/>
          <w:szCs w:val="24"/>
        </w:rPr>
      </w:pPr>
      <w:r>
        <w:rPr>
          <w:rFonts w:asciiTheme="minorHAnsi" w:hAnsiTheme="minorHAnsi" w:cs="Times-Bold"/>
          <w:bCs/>
          <w:sz w:val="24"/>
          <w:szCs w:val="24"/>
        </w:rPr>
        <w:br w:type="page"/>
      </w:r>
    </w:p>
    <w:p w:rsidR="002637EF" w:rsidRDefault="002D5BE0" w:rsidP="002D5BE0">
      <w:pPr>
        <w:autoSpaceDE w:val="0"/>
        <w:autoSpaceDN w:val="0"/>
        <w:adjustRightInd w:val="0"/>
        <w:jc w:val="center"/>
        <w:rPr>
          <w:rFonts w:asciiTheme="minorHAnsi" w:hAnsiTheme="minorHAnsi" w:cs="Times-Bold"/>
          <w:b/>
          <w:bCs/>
          <w:sz w:val="24"/>
          <w:szCs w:val="24"/>
        </w:rPr>
      </w:pPr>
      <w:r w:rsidRPr="002D5BE0">
        <w:rPr>
          <w:rFonts w:asciiTheme="minorHAnsi" w:hAnsiTheme="minorHAnsi" w:cs="Times-Bold"/>
          <w:b/>
          <w:bCs/>
          <w:sz w:val="24"/>
          <w:szCs w:val="24"/>
        </w:rPr>
        <w:lastRenderedPageBreak/>
        <w:t>Exhibit “A”</w:t>
      </w:r>
    </w:p>
    <w:p w:rsidR="002D5BE0" w:rsidRDefault="002D5BE0" w:rsidP="002D5BE0">
      <w:pPr>
        <w:autoSpaceDE w:val="0"/>
        <w:autoSpaceDN w:val="0"/>
        <w:adjustRightInd w:val="0"/>
        <w:jc w:val="center"/>
        <w:rPr>
          <w:rFonts w:asciiTheme="minorHAnsi" w:hAnsiTheme="minorHAnsi" w:cs="Times-Bold"/>
          <w:b/>
          <w:bCs/>
          <w:sz w:val="24"/>
          <w:szCs w:val="24"/>
        </w:rPr>
      </w:pPr>
    </w:p>
    <w:tbl>
      <w:tblPr>
        <w:tblW w:w="9140" w:type="dxa"/>
        <w:tblInd w:w="93" w:type="dxa"/>
        <w:tblLook w:val="04A0" w:firstRow="1" w:lastRow="0" w:firstColumn="1" w:lastColumn="0" w:noHBand="0" w:noVBand="1"/>
      </w:tblPr>
      <w:tblGrid>
        <w:gridCol w:w="5140"/>
        <w:gridCol w:w="4000"/>
      </w:tblGrid>
      <w:tr w:rsidR="002D5BE0" w:rsidRPr="002D5BE0" w:rsidTr="002D5BE0">
        <w:trPr>
          <w:trHeight w:val="630"/>
        </w:trPr>
        <w:tc>
          <w:tcPr>
            <w:tcW w:w="914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D5BE0" w:rsidRPr="002D5BE0" w:rsidRDefault="002D5BE0" w:rsidP="002D5BE0">
            <w:pPr>
              <w:rPr>
                <w:rFonts w:ascii="Arial" w:eastAsia="Times New Roman" w:hAnsi="Arial" w:cs="Arial"/>
                <w:b/>
                <w:bCs/>
                <w:color w:val="FF0000"/>
                <w:sz w:val="24"/>
                <w:szCs w:val="24"/>
              </w:rPr>
            </w:pPr>
            <w:r w:rsidRPr="002D5BE0">
              <w:rPr>
                <w:rFonts w:ascii="Arial" w:eastAsia="Times New Roman" w:hAnsi="Arial" w:cs="Arial"/>
                <w:b/>
                <w:bCs/>
                <w:color w:val="FF0000"/>
                <w:sz w:val="24"/>
                <w:szCs w:val="24"/>
              </w:rPr>
              <w:t>Provide for all purchases or service transfers to SNSC.</w:t>
            </w:r>
            <w:r w:rsidRPr="002D5BE0">
              <w:rPr>
                <w:rFonts w:ascii="Arial" w:eastAsia="Times New Roman" w:hAnsi="Arial" w:cs="Arial"/>
                <w:b/>
                <w:bCs/>
                <w:color w:val="FF0000"/>
                <w:sz w:val="24"/>
                <w:szCs w:val="24"/>
              </w:rPr>
              <w:br/>
              <w:t>Transfer will not be setup until completed form is received.</w:t>
            </w:r>
          </w:p>
        </w:tc>
      </w:tr>
      <w:tr w:rsidR="002D5BE0" w:rsidRPr="002D5BE0" w:rsidTr="002D5BE0">
        <w:trPr>
          <w:trHeight w:val="31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Purchasing Investor Name</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Cut-off Date (seller's data date)</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Sale Close Date (date funded)</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Seller Name</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Releasing Servicer Company Name &amp; Contact</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Number of Loans</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600"/>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Loan List</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provide Excel spreadsheet with loan numbers, borrower names or property addresses</w:t>
            </w:r>
          </w:p>
        </w:tc>
      </w:tr>
      <w:tr w:rsidR="002D5BE0" w:rsidRPr="002D5BE0" w:rsidTr="002D5BE0">
        <w:trPr>
          <w:trHeight w:val="91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Identify Loan Types if FHA, HUD Reportable, Credit Reporting required, other servicing requirements</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r w:rsidR="002D5BE0" w:rsidRPr="002D5BE0" w:rsidTr="002D5BE0">
        <w:trPr>
          <w:trHeight w:val="61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2D5BE0" w:rsidRPr="002D5BE0" w:rsidRDefault="002D5BE0" w:rsidP="002D5BE0">
            <w:pPr>
              <w:rPr>
                <w:rFonts w:ascii="Arial" w:eastAsia="Times New Roman" w:hAnsi="Arial" w:cs="Arial"/>
                <w:color w:val="0000FF"/>
                <w:sz w:val="24"/>
                <w:szCs w:val="24"/>
              </w:rPr>
            </w:pPr>
            <w:r w:rsidRPr="002D5BE0">
              <w:rPr>
                <w:rFonts w:ascii="Arial" w:eastAsia="Times New Roman" w:hAnsi="Arial" w:cs="Arial"/>
                <w:color w:val="0000FF"/>
                <w:sz w:val="24"/>
                <w:szCs w:val="24"/>
              </w:rPr>
              <w:t>Legal Statuses = NonPerforming, Performing, BK, FC, REO</w:t>
            </w:r>
          </w:p>
        </w:tc>
        <w:tc>
          <w:tcPr>
            <w:tcW w:w="4000" w:type="dxa"/>
            <w:tcBorders>
              <w:top w:val="nil"/>
              <w:left w:val="nil"/>
              <w:bottom w:val="single" w:sz="4" w:space="0" w:color="auto"/>
              <w:right w:val="single" w:sz="4" w:space="0" w:color="auto"/>
            </w:tcBorders>
            <w:shd w:val="clear" w:color="auto" w:fill="auto"/>
            <w:vAlign w:val="bottom"/>
            <w:hideMark/>
          </w:tcPr>
          <w:p w:rsidR="002D5BE0" w:rsidRPr="002D5BE0" w:rsidRDefault="002D5BE0" w:rsidP="002D5BE0">
            <w:pPr>
              <w:rPr>
                <w:rFonts w:eastAsia="Times New Roman"/>
                <w:color w:val="000000"/>
              </w:rPr>
            </w:pPr>
            <w:r w:rsidRPr="002D5BE0">
              <w:rPr>
                <w:rFonts w:eastAsia="Times New Roman"/>
                <w:color w:val="000000"/>
              </w:rPr>
              <w:t> </w:t>
            </w:r>
          </w:p>
        </w:tc>
      </w:tr>
    </w:tbl>
    <w:p w:rsidR="002D5BE0" w:rsidRPr="002D5BE0" w:rsidRDefault="002D5BE0" w:rsidP="002D5BE0">
      <w:pPr>
        <w:autoSpaceDE w:val="0"/>
        <w:autoSpaceDN w:val="0"/>
        <w:adjustRightInd w:val="0"/>
        <w:jc w:val="center"/>
        <w:rPr>
          <w:rFonts w:asciiTheme="minorHAnsi" w:hAnsiTheme="minorHAnsi" w:cs="Times-Bold"/>
          <w:b/>
          <w:bCs/>
          <w:sz w:val="24"/>
          <w:szCs w:val="24"/>
        </w:rPr>
      </w:pPr>
    </w:p>
    <w:sectPr w:rsidR="002D5BE0" w:rsidRPr="002D5BE0" w:rsidSect="00545636">
      <w:headerReference w:type="default" r:id="rId16"/>
      <w:footerReference w:type="default" r:id="rId1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EFF" w:rsidRDefault="00024EFF" w:rsidP="00024EFF">
      <w:r>
        <w:separator/>
      </w:r>
    </w:p>
  </w:endnote>
  <w:endnote w:type="continuationSeparator" w:id="0">
    <w:p w:rsidR="00024EFF" w:rsidRDefault="00024EFF" w:rsidP="0002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A8D" w:rsidRDefault="00E75A8D" w:rsidP="00E75A8D">
    <w:pPr>
      <w:pStyle w:val="Footer"/>
      <w:tabs>
        <w:tab w:val="clear" w:pos="4680"/>
        <w:tab w:val="clear" w:pos="9360"/>
        <w:tab w:val="left" w:pos="2267"/>
      </w:tabs>
    </w:pPr>
    <w:r w:rsidRPr="0049159C">
      <w:sym w:font="Symbol" w:char="F0D3"/>
    </w:r>
    <w:r>
      <w:t xml:space="preserve"> 2018 SN Servicing Company</w:t>
    </w:r>
    <w:r w:rsidRPr="0049159C">
      <w:t>.  All rights reserved</w:t>
    </w:r>
    <w:r>
      <w:t>.  Confidential Information.  Please do not share with any other party unless provided explicit authorization from SN Servicing Corporation.</w:t>
    </w:r>
  </w:p>
  <w:p w:rsidR="00024EFF" w:rsidRDefault="0002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EFF" w:rsidRDefault="00024EFF" w:rsidP="00024EFF">
      <w:r>
        <w:separator/>
      </w:r>
    </w:p>
  </w:footnote>
  <w:footnote w:type="continuationSeparator" w:id="0">
    <w:p w:rsidR="00024EFF" w:rsidRDefault="00024EFF" w:rsidP="0002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FF" w:rsidRDefault="00024EFF" w:rsidP="00024E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00AE7"/>
    <w:multiLevelType w:val="hybridMultilevel"/>
    <w:tmpl w:val="820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7A7A"/>
    <w:multiLevelType w:val="hybridMultilevel"/>
    <w:tmpl w:val="DE28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906F8"/>
    <w:multiLevelType w:val="hybridMultilevel"/>
    <w:tmpl w:val="05BC39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5C46AD"/>
    <w:multiLevelType w:val="hybridMultilevel"/>
    <w:tmpl w:val="0F30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C7348"/>
    <w:multiLevelType w:val="hybridMultilevel"/>
    <w:tmpl w:val="C24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639D7"/>
    <w:multiLevelType w:val="hybridMultilevel"/>
    <w:tmpl w:val="54A2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18"/>
    <w:rsid w:val="00024EFF"/>
    <w:rsid w:val="000A33CC"/>
    <w:rsid w:val="000C1D25"/>
    <w:rsid w:val="000D0C3F"/>
    <w:rsid w:val="00110626"/>
    <w:rsid w:val="00132BED"/>
    <w:rsid w:val="00156554"/>
    <w:rsid w:val="00157E2D"/>
    <w:rsid w:val="001650D0"/>
    <w:rsid w:val="00197DEB"/>
    <w:rsid w:val="00241CBE"/>
    <w:rsid w:val="00253B7A"/>
    <w:rsid w:val="002637EF"/>
    <w:rsid w:val="00293D05"/>
    <w:rsid w:val="002A6118"/>
    <w:rsid w:val="002D4B64"/>
    <w:rsid w:val="002D5BE0"/>
    <w:rsid w:val="002E5CCE"/>
    <w:rsid w:val="00327E98"/>
    <w:rsid w:val="00346EE1"/>
    <w:rsid w:val="00351023"/>
    <w:rsid w:val="003D7A07"/>
    <w:rsid w:val="003F502B"/>
    <w:rsid w:val="00424975"/>
    <w:rsid w:val="004A5187"/>
    <w:rsid w:val="004B3073"/>
    <w:rsid w:val="004D093D"/>
    <w:rsid w:val="00507A5D"/>
    <w:rsid w:val="005118FB"/>
    <w:rsid w:val="00545636"/>
    <w:rsid w:val="005615AA"/>
    <w:rsid w:val="00587911"/>
    <w:rsid w:val="005B33B4"/>
    <w:rsid w:val="005B5E3C"/>
    <w:rsid w:val="005C51B6"/>
    <w:rsid w:val="005D0968"/>
    <w:rsid w:val="005D5ACE"/>
    <w:rsid w:val="00635596"/>
    <w:rsid w:val="006650A9"/>
    <w:rsid w:val="006C2ACC"/>
    <w:rsid w:val="00722CC2"/>
    <w:rsid w:val="0072365A"/>
    <w:rsid w:val="007620CE"/>
    <w:rsid w:val="007A33FF"/>
    <w:rsid w:val="007D7072"/>
    <w:rsid w:val="008065C6"/>
    <w:rsid w:val="008C1B44"/>
    <w:rsid w:val="008E360C"/>
    <w:rsid w:val="00913E12"/>
    <w:rsid w:val="00927E56"/>
    <w:rsid w:val="009445F8"/>
    <w:rsid w:val="00955541"/>
    <w:rsid w:val="00973409"/>
    <w:rsid w:val="009B2764"/>
    <w:rsid w:val="009D7686"/>
    <w:rsid w:val="00A010A9"/>
    <w:rsid w:val="00A55C2A"/>
    <w:rsid w:val="00A82F22"/>
    <w:rsid w:val="00AB5E8C"/>
    <w:rsid w:val="00B0139C"/>
    <w:rsid w:val="00B62375"/>
    <w:rsid w:val="00B74738"/>
    <w:rsid w:val="00BA58EB"/>
    <w:rsid w:val="00BE40F5"/>
    <w:rsid w:val="00BF2983"/>
    <w:rsid w:val="00C109D1"/>
    <w:rsid w:val="00C30C66"/>
    <w:rsid w:val="00C32614"/>
    <w:rsid w:val="00C50079"/>
    <w:rsid w:val="00C51A7A"/>
    <w:rsid w:val="00CA7EDE"/>
    <w:rsid w:val="00D14CE9"/>
    <w:rsid w:val="00D41324"/>
    <w:rsid w:val="00D75ED8"/>
    <w:rsid w:val="00E10001"/>
    <w:rsid w:val="00E10C18"/>
    <w:rsid w:val="00E153E7"/>
    <w:rsid w:val="00E47DEE"/>
    <w:rsid w:val="00E57BB9"/>
    <w:rsid w:val="00E75A8D"/>
    <w:rsid w:val="00E91A25"/>
    <w:rsid w:val="00ED7AE7"/>
    <w:rsid w:val="00F70FE4"/>
    <w:rsid w:val="00F80E8C"/>
    <w:rsid w:val="00FE2853"/>
    <w:rsid w:val="00FF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533AFF"/>
  <w15:docId w15:val="{FA20D39E-5726-4F3C-B834-212DB396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118"/>
    <w:pPr>
      <w:spacing w:after="0"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118"/>
    <w:rPr>
      <w:color w:val="0563C1"/>
      <w:u w:val="single"/>
    </w:rPr>
  </w:style>
  <w:style w:type="paragraph" w:styleId="ListParagraph">
    <w:name w:val="List Paragraph"/>
    <w:basedOn w:val="Normal"/>
    <w:uiPriority w:val="34"/>
    <w:qFormat/>
    <w:rsid w:val="002A6118"/>
    <w:pPr>
      <w:ind w:left="720"/>
    </w:pPr>
    <w:rPr>
      <w:rFonts w:cs="Calibri"/>
    </w:rPr>
  </w:style>
  <w:style w:type="paragraph" w:styleId="BalloonText">
    <w:name w:val="Balloon Text"/>
    <w:basedOn w:val="Normal"/>
    <w:link w:val="BalloonTextChar"/>
    <w:uiPriority w:val="99"/>
    <w:semiHidden/>
    <w:unhideWhenUsed/>
    <w:rsid w:val="002A6118"/>
    <w:rPr>
      <w:rFonts w:ascii="Tahoma" w:hAnsi="Tahoma" w:cs="Tahoma"/>
      <w:sz w:val="16"/>
      <w:szCs w:val="16"/>
    </w:rPr>
  </w:style>
  <w:style w:type="character" w:customStyle="1" w:styleId="BalloonTextChar">
    <w:name w:val="Balloon Text Char"/>
    <w:basedOn w:val="DefaultParagraphFont"/>
    <w:link w:val="BalloonText"/>
    <w:uiPriority w:val="99"/>
    <w:semiHidden/>
    <w:rsid w:val="002A6118"/>
    <w:rPr>
      <w:rFonts w:ascii="Tahoma" w:hAnsi="Tahoma" w:cs="Tahoma"/>
      <w:sz w:val="16"/>
      <w:szCs w:val="16"/>
    </w:rPr>
  </w:style>
  <w:style w:type="paragraph" w:styleId="Header">
    <w:name w:val="header"/>
    <w:basedOn w:val="Normal"/>
    <w:link w:val="HeaderChar"/>
    <w:uiPriority w:val="99"/>
    <w:unhideWhenUsed/>
    <w:rsid w:val="00024EFF"/>
    <w:pPr>
      <w:tabs>
        <w:tab w:val="center" w:pos="4680"/>
        <w:tab w:val="right" w:pos="9360"/>
      </w:tabs>
    </w:pPr>
  </w:style>
  <w:style w:type="character" w:customStyle="1" w:styleId="HeaderChar">
    <w:name w:val="Header Char"/>
    <w:basedOn w:val="DefaultParagraphFont"/>
    <w:link w:val="Header"/>
    <w:uiPriority w:val="99"/>
    <w:rsid w:val="00024EFF"/>
    <w:rPr>
      <w:rFonts w:ascii="Calibri" w:hAnsi="Calibri" w:cs="Times New Roman"/>
      <w:sz w:val="22"/>
    </w:rPr>
  </w:style>
  <w:style w:type="paragraph" w:styleId="Footer">
    <w:name w:val="footer"/>
    <w:basedOn w:val="Normal"/>
    <w:link w:val="FooterChar"/>
    <w:uiPriority w:val="99"/>
    <w:unhideWhenUsed/>
    <w:rsid w:val="00024EFF"/>
    <w:pPr>
      <w:tabs>
        <w:tab w:val="center" w:pos="4680"/>
        <w:tab w:val="right" w:pos="9360"/>
      </w:tabs>
    </w:pPr>
  </w:style>
  <w:style w:type="character" w:customStyle="1" w:styleId="FooterChar">
    <w:name w:val="Footer Char"/>
    <w:basedOn w:val="DefaultParagraphFont"/>
    <w:link w:val="Footer"/>
    <w:uiPriority w:val="99"/>
    <w:rsid w:val="00024EFF"/>
    <w:rPr>
      <w:rFonts w:ascii="Calibri" w:hAnsi="Calibri" w:cs="Times New Roman"/>
      <w:sz w:val="22"/>
    </w:rPr>
  </w:style>
  <w:style w:type="paragraph" w:styleId="PlainText">
    <w:name w:val="Plain Text"/>
    <w:basedOn w:val="Normal"/>
    <w:link w:val="PlainTextChar"/>
    <w:uiPriority w:val="99"/>
    <w:semiHidden/>
    <w:unhideWhenUsed/>
    <w:rsid w:val="005C51B6"/>
    <w:rPr>
      <w:rFonts w:eastAsiaTheme="minorEastAsia"/>
      <w:szCs w:val="21"/>
    </w:rPr>
  </w:style>
  <w:style w:type="character" w:customStyle="1" w:styleId="PlainTextChar">
    <w:name w:val="Plain Text Char"/>
    <w:basedOn w:val="DefaultParagraphFont"/>
    <w:link w:val="PlainText"/>
    <w:uiPriority w:val="99"/>
    <w:semiHidden/>
    <w:rsid w:val="005C51B6"/>
    <w:rPr>
      <w:rFonts w:ascii="Calibri" w:eastAsiaTheme="minorEastAsia"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63265">
      <w:bodyDiv w:val="1"/>
      <w:marLeft w:val="0"/>
      <w:marRight w:val="0"/>
      <w:marTop w:val="0"/>
      <w:marBottom w:val="0"/>
      <w:divBdr>
        <w:top w:val="none" w:sz="0" w:space="0" w:color="auto"/>
        <w:left w:val="none" w:sz="0" w:space="0" w:color="auto"/>
        <w:bottom w:val="none" w:sz="0" w:space="0" w:color="auto"/>
        <w:right w:val="none" w:sz="0" w:space="0" w:color="auto"/>
      </w:divBdr>
    </w:div>
    <w:div w:id="751582712">
      <w:bodyDiv w:val="1"/>
      <w:marLeft w:val="0"/>
      <w:marRight w:val="0"/>
      <w:marTop w:val="0"/>
      <w:marBottom w:val="0"/>
      <w:divBdr>
        <w:top w:val="none" w:sz="0" w:space="0" w:color="auto"/>
        <w:left w:val="none" w:sz="0" w:space="0" w:color="auto"/>
        <w:bottom w:val="none" w:sz="0" w:space="0" w:color="auto"/>
        <w:right w:val="none" w:sz="0" w:space="0" w:color="auto"/>
      </w:divBdr>
    </w:div>
    <w:div w:id="1530527745">
      <w:bodyDiv w:val="1"/>
      <w:marLeft w:val="0"/>
      <w:marRight w:val="0"/>
      <w:marTop w:val="0"/>
      <w:marBottom w:val="0"/>
      <w:divBdr>
        <w:top w:val="none" w:sz="0" w:space="0" w:color="auto"/>
        <w:left w:val="none" w:sz="0" w:space="0" w:color="auto"/>
        <w:bottom w:val="none" w:sz="0" w:space="0" w:color="auto"/>
        <w:right w:val="none" w:sz="0" w:space="0" w:color="auto"/>
      </w:divBdr>
    </w:div>
    <w:div w:id="1623733849">
      <w:bodyDiv w:val="1"/>
      <w:marLeft w:val="0"/>
      <w:marRight w:val="0"/>
      <w:marTop w:val="0"/>
      <w:marBottom w:val="0"/>
      <w:divBdr>
        <w:top w:val="none" w:sz="0" w:space="0" w:color="auto"/>
        <w:left w:val="none" w:sz="0" w:space="0" w:color="auto"/>
        <w:bottom w:val="none" w:sz="0" w:space="0" w:color="auto"/>
        <w:right w:val="none" w:sz="0" w:space="0" w:color="auto"/>
      </w:divBdr>
    </w:div>
    <w:div w:id="1789817853">
      <w:bodyDiv w:val="1"/>
      <w:marLeft w:val="0"/>
      <w:marRight w:val="0"/>
      <w:marTop w:val="0"/>
      <w:marBottom w:val="0"/>
      <w:divBdr>
        <w:top w:val="none" w:sz="0" w:space="0" w:color="auto"/>
        <w:left w:val="none" w:sz="0" w:space="0" w:color="auto"/>
        <w:bottom w:val="none" w:sz="0" w:space="0" w:color="auto"/>
        <w:right w:val="none" w:sz="0" w:space="0" w:color="auto"/>
      </w:divBdr>
    </w:div>
    <w:div w:id="1905947995">
      <w:bodyDiv w:val="1"/>
      <w:marLeft w:val="0"/>
      <w:marRight w:val="0"/>
      <w:marTop w:val="0"/>
      <w:marBottom w:val="0"/>
      <w:divBdr>
        <w:top w:val="none" w:sz="0" w:space="0" w:color="auto"/>
        <w:left w:val="none" w:sz="0" w:space="0" w:color="auto"/>
        <w:bottom w:val="none" w:sz="0" w:space="0" w:color="auto"/>
        <w:right w:val="none" w:sz="0" w:space="0" w:color="auto"/>
      </w:divBdr>
    </w:div>
    <w:div w:id="19674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95354120@26032007-0320" TargetMode="External"/><Relationship Id="rId13" Type="http://schemas.openxmlformats.org/officeDocument/2006/relationships/hyperlink" Target="mailto:RBostwick@sns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vingtonAccounting@sns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eibler@snsc.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ttouchton@sns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deibler@snsc.com" TargetMode="External"/><Relationship Id="rId14" Type="http://schemas.openxmlformats.org/officeDocument/2006/relationships/hyperlink" Target="https://urldefense.proofpoint.com/v2/url?u=https-3A__files.consumerfinance.gov_f_documents_cfpb-5Fdebt-2Dcollection-5Ffinal-2Drule-5F2020-2D12.pdf&amp;d=DwQGaQ&amp;c=euGZstcaTDllvimEN8b7jXrwqOf-v5A_CdpgnVfiiMM&amp;r=qAj9DasxVlfpHS4P3weRQvM1TSW-V9hmFOWyeh1jBg0&amp;m=O4b2Wn_Hn3wHEyWvPPGH4u7io_aB5Kl52w2tQBUI0c4&amp;s=qRvXSj7IDWVaGRwd3X4upN89R4sjYCCsZSifMN77_k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Frazel, Nanc</dc:creator>
  <cp:lastModifiedBy>Deibler, Matt</cp:lastModifiedBy>
  <cp:revision>29</cp:revision>
  <dcterms:created xsi:type="dcterms:W3CDTF">2020-05-15T15:13:00Z</dcterms:created>
  <dcterms:modified xsi:type="dcterms:W3CDTF">2022-07-25T15:37:00Z</dcterms:modified>
</cp:coreProperties>
</file>